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B32B95" w14:textId="77777777" w:rsidR="00E219FB" w:rsidRPr="005D176F" w:rsidRDefault="0088174F" w:rsidP="009478E5">
      <w:pPr>
        <w:jc w:val="center"/>
      </w:pPr>
      <w:r>
        <w:rPr>
          <w:bCs/>
          <w:i/>
          <w:iCs/>
        </w:rPr>
        <w:t xml:space="preserve"> </w:t>
      </w:r>
      <w:r w:rsidR="004D4DA4">
        <w:rPr>
          <w:bCs/>
          <w:i/>
          <w:iCs/>
        </w:rPr>
        <w:t>„</w:t>
      </w:r>
      <w:r w:rsidR="00065036" w:rsidRPr="001C01EF">
        <w:rPr>
          <w:rFonts w:ascii="Verdana" w:hAnsi="Verdana"/>
          <w:bCs/>
          <w:iCs/>
          <w:sz w:val="20"/>
          <w:szCs w:val="20"/>
        </w:rPr>
        <w:t xml:space="preserve">Wdrożenie Krajowego Systemu Danych Oświatowych (KSDO)” </w:t>
      </w:r>
      <w:r w:rsidR="001C01EF">
        <w:rPr>
          <w:rFonts w:ascii="Verdana" w:hAnsi="Verdana"/>
          <w:bCs/>
          <w:iCs/>
          <w:sz w:val="20"/>
          <w:szCs w:val="20"/>
        </w:rPr>
        <w:t xml:space="preserve">nr projektu: </w:t>
      </w:r>
      <w:r w:rsidR="001C01EF" w:rsidRPr="001C01EF">
        <w:rPr>
          <w:rFonts w:ascii="Verdana" w:hAnsi="Verdana"/>
          <w:bCs/>
          <w:iCs/>
          <w:sz w:val="20"/>
          <w:szCs w:val="20"/>
        </w:rPr>
        <w:t>P</w:t>
      </w:r>
      <w:r w:rsidR="001C01EF" w:rsidRPr="001C01EF">
        <w:rPr>
          <w:rFonts w:ascii="Verdana" w:hAnsi="Verdana" w:cs="Verdana-Bold"/>
          <w:bCs/>
          <w:sz w:val="20"/>
          <w:szCs w:val="20"/>
        </w:rPr>
        <w:t>OWR.02.10.00-00-0008/18</w:t>
      </w:r>
    </w:p>
    <w:tbl>
      <w:tblPr>
        <w:tblStyle w:val="Tabela-Siatka"/>
        <w:tblpPr w:leftFromText="141" w:rightFromText="141" w:vertAnchor="text" w:tblpX="-352" w:tblpY="1"/>
        <w:tblOverlap w:val="never"/>
        <w:tblW w:w="15304" w:type="dxa"/>
        <w:tblLayout w:type="fixed"/>
        <w:tblLook w:val="04A0" w:firstRow="1" w:lastRow="0" w:firstColumn="1" w:lastColumn="0" w:noHBand="0" w:noVBand="1"/>
      </w:tblPr>
      <w:tblGrid>
        <w:gridCol w:w="534"/>
        <w:gridCol w:w="2013"/>
        <w:gridCol w:w="2126"/>
        <w:gridCol w:w="2126"/>
        <w:gridCol w:w="7230"/>
        <w:gridCol w:w="1275"/>
      </w:tblGrid>
      <w:tr w:rsidR="00E219FB" w:rsidRPr="005D176F" w14:paraId="42FA9A24" w14:textId="77777777" w:rsidTr="00F52B8F">
        <w:trPr>
          <w:trHeight w:val="841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14:paraId="0F9BEACB" w14:textId="77777777" w:rsidR="00E219FB" w:rsidRPr="00572E44" w:rsidRDefault="00E219FB" w:rsidP="00F42FF6">
            <w:pPr>
              <w:jc w:val="center"/>
              <w:rPr>
                <w:b/>
                <w:sz w:val="20"/>
                <w:szCs w:val="20"/>
              </w:rPr>
            </w:pPr>
            <w:r w:rsidRPr="00572E44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2013" w:type="dxa"/>
            <w:shd w:val="clear" w:color="auto" w:fill="D9D9D9" w:themeFill="background1" w:themeFillShade="D9"/>
            <w:vAlign w:val="center"/>
          </w:tcPr>
          <w:p w14:paraId="6B8B244B" w14:textId="77777777" w:rsidR="00E219FB" w:rsidRPr="00572E44" w:rsidRDefault="00E219FB" w:rsidP="00F42FF6">
            <w:pPr>
              <w:jc w:val="center"/>
              <w:rPr>
                <w:b/>
                <w:sz w:val="20"/>
                <w:szCs w:val="20"/>
              </w:rPr>
            </w:pPr>
            <w:r w:rsidRPr="00572E44">
              <w:rPr>
                <w:b/>
                <w:sz w:val="20"/>
                <w:szCs w:val="20"/>
              </w:rPr>
              <w:t>Miejsce w Rocznym Planie Działania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53FC3413" w14:textId="77777777" w:rsidR="00E219FB" w:rsidRPr="00572E44" w:rsidRDefault="00E219FB" w:rsidP="00F42FF6">
            <w:pPr>
              <w:jc w:val="center"/>
              <w:rPr>
                <w:b/>
                <w:sz w:val="20"/>
                <w:szCs w:val="20"/>
              </w:rPr>
            </w:pPr>
            <w:r w:rsidRPr="00572E44">
              <w:rPr>
                <w:b/>
                <w:sz w:val="20"/>
                <w:szCs w:val="20"/>
              </w:rPr>
              <w:t>Obecny zapis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0D66AD39" w14:textId="77777777" w:rsidR="00E219FB" w:rsidRPr="00572E44" w:rsidRDefault="00E219FB" w:rsidP="00F42FF6">
            <w:pPr>
              <w:jc w:val="center"/>
              <w:rPr>
                <w:b/>
                <w:sz w:val="20"/>
                <w:szCs w:val="20"/>
              </w:rPr>
            </w:pPr>
            <w:r w:rsidRPr="00572E44">
              <w:rPr>
                <w:b/>
                <w:sz w:val="20"/>
                <w:szCs w:val="20"/>
              </w:rPr>
              <w:t>Proponowany zapis</w:t>
            </w:r>
          </w:p>
        </w:tc>
        <w:tc>
          <w:tcPr>
            <w:tcW w:w="7230" w:type="dxa"/>
            <w:shd w:val="clear" w:color="auto" w:fill="D9D9D9" w:themeFill="background1" w:themeFillShade="D9"/>
            <w:vAlign w:val="center"/>
          </w:tcPr>
          <w:p w14:paraId="371021E6" w14:textId="77777777" w:rsidR="00E219FB" w:rsidRPr="00572E44" w:rsidRDefault="00E219FB" w:rsidP="00F42FF6">
            <w:pPr>
              <w:jc w:val="center"/>
              <w:rPr>
                <w:b/>
                <w:sz w:val="20"/>
                <w:szCs w:val="20"/>
              </w:rPr>
            </w:pPr>
            <w:r w:rsidRPr="00572E44">
              <w:rPr>
                <w:b/>
                <w:sz w:val="20"/>
                <w:szCs w:val="20"/>
              </w:rPr>
              <w:t>Uzasadnienie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14:paraId="00F14542" w14:textId="77777777" w:rsidR="00E219FB" w:rsidRPr="00572E44" w:rsidRDefault="00E219FB" w:rsidP="00F42FF6">
            <w:pPr>
              <w:jc w:val="center"/>
              <w:rPr>
                <w:b/>
                <w:sz w:val="20"/>
                <w:szCs w:val="20"/>
              </w:rPr>
            </w:pPr>
            <w:r w:rsidRPr="00572E44">
              <w:rPr>
                <w:b/>
                <w:sz w:val="20"/>
                <w:szCs w:val="20"/>
              </w:rPr>
              <w:t>Stanowisko IZ PO WER</w:t>
            </w:r>
          </w:p>
        </w:tc>
      </w:tr>
      <w:tr w:rsidR="00F07C96" w:rsidRPr="00DC24AB" w14:paraId="439E17F4" w14:textId="77777777" w:rsidTr="00F52B8F">
        <w:trPr>
          <w:trHeight w:val="841"/>
        </w:trPr>
        <w:tc>
          <w:tcPr>
            <w:tcW w:w="534" w:type="dxa"/>
            <w:vAlign w:val="center"/>
          </w:tcPr>
          <w:p w14:paraId="22F83484" w14:textId="77777777" w:rsidR="00F07C96" w:rsidRPr="00DC24AB" w:rsidRDefault="00572E44" w:rsidP="00F42FF6">
            <w:pPr>
              <w:jc w:val="center"/>
            </w:pPr>
            <w:r w:rsidRPr="00DC24AB">
              <w:t>1.</w:t>
            </w:r>
          </w:p>
        </w:tc>
        <w:tc>
          <w:tcPr>
            <w:tcW w:w="2013" w:type="dxa"/>
          </w:tcPr>
          <w:p w14:paraId="27037E4D" w14:textId="77777777" w:rsidR="00F07C96" w:rsidRPr="002E3EFC" w:rsidRDefault="0088174F" w:rsidP="004D4DA4">
            <w:pPr>
              <w:rPr>
                <w:rFonts w:ascii="Verdana" w:hAnsi="Verdana"/>
                <w:sz w:val="20"/>
                <w:szCs w:val="20"/>
              </w:rPr>
            </w:pPr>
            <w:r w:rsidRPr="002E3EFC">
              <w:rPr>
                <w:rFonts w:ascii="Verdana" w:hAnsi="Verdana"/>
                <w:sz w:val="20"/>
                <w:szCs w:val="20"/>
              </w:rPr>
              <w:t>Wartość ogółem projektu</w:t>
            </w:r>
          </w:p>
          <w:p w14:paraId="4C111B5A" w14:textId="77777777" w:rsidR="00DC5136" w:rsidRPr="002E3EFC" w:rsidRDefault="00DC5136" w:rsidP="004D4DA4">
            <w:pPr>
              <w:rPr>
                <w:rFonts w:ascii="Verdana" w:hAnsi="Verdana"/>
                <w:sz w:val="20"/>
                <w:szCs w:val="20"/>
              </w:rPr>
            </w:pPr>
          </w:p>
          <w:p w14:paraId="47531B32" w14:textId="77777777" w:rsidR="00DC5136" w:rsidRPr="002E3EFC" w:rsidRDefault="00DC5136" w:rsidP="004D4DA4">
            <w:pPr>
              <w:rPr>
                <w:rFonts w:ascii="Verdana" w:hAnsi="Verdana"/>
                <w:sz w:val="20"/>
                <w:szCs w:val="20"/>
              </w:rPr>
            </w:pPr>
            <w:r w:rsidRPr="002E3EFC">
              <w:rPr>
                <w:rFonts w:ascii="Verdana" w:hAnsi="Verdana"/>
                <w:sz w:val="20"/>
                <w:szCs w:val="20"/>
              </w:rPr>
              <w:t>Okres realizacji projektu</w:t>
            </w:r>
          </w:p>
        </w:tc>
        <w:tc>
          <w:tcPr>
            <w:tcW w:w="2126" w:type="dxa"/>
          </w:tcPr>
          <w:p w14:paraId="5A471C49" w14:textId="77777777" w:rsidR="00F07C96" w:rsidRPr="002E3EFC" w:rsidRDefault="009B4AE8" w:rsidP="004D4DA4">
            <w:pPr>
              <w:rPr>
                <w:rFonts w:ascii="Verdana" w:hAnsi="Verdana" w:cs="Verdana"/>
                <w:sz w:val="20"/>
                <w:szCs w:val="20"/>
              </w:rPr>
            </w:pPr>
            <w:r w:rsidRPr="002E3EFC">
              <w:rPr>
                <w:rFonts w:ascii="Verdana" w:hAnsi="Verdana" w:cs="Verdana"/>
                <w:sz w:val="20"/>
                <w:szCs w:val="20"/>
              </w:rPr>
              <w:t>29 469 619,02 zł</w:t>
            </w:r>
          </w:p>
          <w:p w14:paraId="75151587" w14:textId="77777777" w:rsidR="00DC5136" w:rsidRPr="002E3EFC" w:rsidRDefault="00DC5136" w:rsidP="004D4DA4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44E7C34B" w14:textId="77777777" w:rsidR="00DC5136" w:rsidRPr="002E3EFC" w:rsidRDefault="00DC5136" w:rsidP="004D4DA4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0A3BF9C7" w14:textId="77777777" w:rsidR="00DC5136" w:rsidRPr="002E3EFC" w:rsidRDefault="001A414B" w:rsidP="004D4DA4">
            <w:pPr>
              <w:rPr>
                <w:rFonts w:ascii="Verdana" w:hAnsi="Verdana"/>
                <w:sz w:val="20"/>
                <w:szCs w:val="20"/>
              </w:rPr>
            </w:pPr>
            <w:r w:rsidRPr="002E3EFC">
              <w:rPr>
                <w:rFonts w:ascii="Verdana" w:hAnsi="Verdana"/>
                <w:sz w:val="20"/>
                <w:szCs w:val="20"/>
              </w:rPr>
              <w:t>od: 2019-01-01 do: 2021-12-31</w:t>
            </w:r>
          </w:p>
        </w:tc>
        <w:tc>
          <w:tcPr>
            <w:tcW w:w="2126" w:type="dxa"/>
          </w:tcPr>
          <w:p w14:paraId="39E9FF7D" w14:textId="77777777" w:rsidR="00DC5136" w:rsidRPr="002E3EFC" w:rsidRDefault="00DC5136" w:rsidP="00DC5136">
            <w:pPr>
              <w:rPr>
                <w:rFonts w:ascii="Verdana" w:hAnsi="Verdana"/>
                <w:sz w:val="20"/>
                <w:szCs w:val="20"/>
              </w:rPr>
            </w:pPr>
            <w:r w:rsidRPr="002E3EFC">
              <w:rPr>
                <w:rFonts w:ascii="Verdana" w:hAnsi="Verdana" w:cs="Arial"/>
                <w:bCs/>
                <w:sz w:val="20"/>
                <w:szCs w:val="20"/>
                <w:lang w:eastAsia="pl-PL"/>
              </w:rPr>
              <w:t>42 469 619,02 zł</w:t>
            </w:r>
          </w:p>
          <w:p w14:paraId="60FB4117" w14:textId="77777777" w:rsidR="001A414B" w:rsidRPr="002E3EFC" w:rsidRDefault="001A414B" w:rsidP="00B1131F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21FCF1AA" w14:textId="77777777" w:rsidR="001A414B" w:rsidRPr="002E3EFC" w:rsidRDefault="001A414B" w:rsidP="00B1131F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7FCFC638" w14:textId="77777777" w:rsidR="00EE696F" w:rsidRPr="002E3EFC" w:rsidRDefault="001A414B" w:rsidP="00B1131F">
            <w:pPr>
              <w:rPr>
                <w:rFonts w:ascii="Verdana" w:hAnsi="Verdana"/>
                <w:sz w:val="20"/>
                <w:szCs w:val="20"/>
              </w:rPr>
            </w:pPr>
            <w:r w:rsidRPr="002E3EFC">
              <w:rPr>
                <w:rFonts w:ascii="Verdana" w:hAnsi="Verdana" w:cs="Verdana"/>
                <w:sz w:val="20"/>
                <w:szCs w:val="20"/>
              </w:rPr>
              <w:t>od: 2019-01-01 do: 2022-08-31</w:t>
            </w:r>
          </w:p>
        </w:tc>
        <w:tc>
          <w:tcPr>
            <w:tcW w:w="7230" w:type="dxa"/>
          </w:tcPr>
          <w:p w14:paraId="60F44CC6" w14:textId="77777777" w:rsidR="00A360FA" w:rsidRPr="00DC5136" w:rsidRDefault="00A360FA" w:rsidP="00A360FA">
            <w:pPr>
              <w:spacing w:line="276" w:lineRule="auto"/>
              <w:jc w:val="both"/>
              <w:rPr>
                <w:rFonts w:ascii="Verdana" w:eastAsia="Times New Roman" w:hAnsi="Verdana"/>
                <w:sz w:val="20"/>
                <w:szCs w:val="20"/>
              </w:rPr>
            </w:pPr>
            <w:r w:rsidRPr="00DC5136">
              <w:rPr>
                <w:rFonts w:ascii="Verdana" w:eastAsia="Times New Roman" w:hAnsi="Verdana"/>
                <w:sz w:val="20"/>
                <w:szCs w:val="20"/>
              </w:rPr>
              <w:t>Zwiększenie wartości projektu</w:t>
            </w:r>
            <w:r w:rsidR="006E604B" w:rsidRPr="00DC5136">
              <w:rPr>
                <w:rFonts w:ascii="Verdana" w:eastAsia="Times New Roman" w:hAnsi="Verdana"/>
                <w:sz w:val="20"/>
                <w:szCs w:val="20"/>
              </w:rPr>
              <w:t xml:space="preserve"> oraz wydłużenie okresu </w:t>
            </w:r>
            <w:r w:rsidR="001A414B">
              <w:rPr>
                <w:rFonts w:ascii="Verdana" w:eastAsia="Times New Roman" w:hAnsi="Verdana"/>
                <w:sz w:val="20"/>
                <w:szCs w:val="20"/>
              </w:rPr>
              <w:t xml:space="preserve">jego </w:t>
            </w:r>
            <w:r w:rsidR="006E604B" w:rsidRPr="00DC5136">
              <w:rPr>
                <w:rFonts w:ascii="Verdana" w:eastAsia="Times New Roman" w:hAnsi="Verdana"/>
                <w:sz w:val="20"/>
                <w:szCs w:val="20"/>
              </w:rPr>
              <w:t xml:space="preserve">realizacji </w:t>
            </w:r>
            <w:r w:rsidRPr="00DC5136">
              <w:rPr>
                <w:rFonts w:ascii="Verdana" w:eastAsia="Times New Roman" w:hAnsi="Verdana"/>
                <w:sz w:val="20"/>
                <w:szCs w:val="20"/>
              </w:rPr>
              <w:t xml:space="preserve"> związane jest </w:t>
            </w:r>
            <w:r w:rsidR="001A414B">
              <w:rPr>
                <w:rFonts w:ascii="Verdana" w:eastAsia="Times New Roman" w:hAnsi="Verdana"/>
                <w:sz w:val="20"/>
                <w:szCs w:val="20"/>
              </w:rPr>
              <w:t xml:space="preserve">przede wszystkim </w:t>
            </w:r>
            <w:r w:rsidRPr="00DC5136">
              <w:rPr>
                <w:rFonts w:ascii="Verdana" w:eastAsia="Times New Roman" w:hAnsi="Verdana"/>
                <w:sz w:val="20"/>
                <w:szCs w:val="20"/>
              </w:rPr>
              <w:t>z rozbudową systemu o kolejne funkcjonalności</w:t>
            </w:r>
            <w:r w:rsidR="00E0507A" w:rsidRPr="00DC5136">
              <w:rPr>
                <w:rFonts w:ascii="Verdana" w:eastAsia="Times New Roman" w:hAnsi="Verdana"/>
                <w:sz w:val="20"/>
                <w:szCs w:val="20"/>
              </w:rPr>
              <w:t xml:space="preserve"> oraz</w:t>
            </w:r>
            <w:r w:rsidR="001A414B">
              <w:rPr>
                <w:rFonts w:ascii="Verdana" w:eastAsia="Times New Roman" w:hAnsi="Verdana"/>
                <w:sz w:val="20"/>
                <w:szCs w:val="20"/>
              </w:rPr>
              <w:t xml:space="preserve"> ze</w:t>
            </w:r>
            <w:r w:rsidR="00E0507A" w:rsidRPr="00DC5136">
              <w:rPr>
                <w:rFonts w:ascii="Verdana" w:eastAsia="Times New Roman" w:hAnsi="Verdana"/>
                <w:sz w:val="20"/>
                <w:szCs w:val="20"/>
              </w:rPr>
              <w:t xml:space="preserve"> </w:t>
            </w:r>
            <w:r w:rsidR="001A414B">
              <w:rPr>
                <w:rFonts w:ascii="Verdana" w:eastAsia="Times New Roman" w:hAnsi="Verdana"/>
                <w:sz w:val="20"/>
                <w:szCs w:val="20"/>
              </w:rPr>
              <w:t>zwiększeniem</w:t>
            </w:r>
            <w:r w:rsidR="00E0507A" w:rsidRPr="00DC5136">
              <w:rPr>
                <w:rFonts w:ascii="Verdana" w:eastAsia="Times New Roman" w:hAnsi="Verdana"/>
                <w:sz w:val="20"/>
                <w:szCs w:val="20"/>
              </w:rPr>
              <w:t xml:space="preserve"> zakresu gromadzonych </w:t>
            </w:r>
            <w:r w:rsidR="001A414B">
              <w:rPr>
                <w:rFonts w:ascii="Verdana" w:eastAsia="Times New Roman" w:hAnsi="Verdana"/>
                <w:sz w:val="20"/>
                <w:szCs w:val="20"/>
              </w:rPr>
              <w:t xml:space="preserve">i przetwarzanych </w:t>
            </w:r>
            <w:r w:rsidR="00E0507A" w:rsidRPr="00DC5136">
              <w:rPr>
                <w:rFonts w:ascii="Verdana" w:eastAsia="Times New Roman" w:hAnsi="Verdana"/>
                <w:sz w:val="20"/>
                <w:szCs w:val="20"/>
              </w:rPr>
              <w:t>danych</w:t>
            </w:r>
            <w:r w:rsidR="006E604B" w:rsidRPr="00DC5136">
              <w:rPr>
                <w:rFonts w:ascii="Verdana" w:eastAsia="Times New Roman" w:hAnsi="Verdana"/>
                <w:sz w:val="20"/>
                <w:szCs w:val="20"/>
              </w:rPr>
              <w:t xml:space="preserve"> przez </w:t>
            </w:r>
            <w:r w:rsidR="001A414B">
              <w:rPr>
                <w:rFonts w:ascii="Verdana" w:eastAsia="Times New Roman" w:hAnsi="Verdana"/>
                <w:sz w:val="20"/>
                <w:szCs w:val="20"/>
              </w:rPr>
              <w:t>Krajowy System Danych Oświatowych</w:t>
            </w:r>
            <w:r w:rsidRPr="00DC5136">
              <w:rPr>
                <w:rFonts w:ascii="Verdana" w:eastAsia="Times New Roman" w:hAnsi="Verdana"/>
                <w:sz w:val="20"/>
                <w:szCs w:val="20"/>
              </w:rPr>
              <w:t xml:space="preserve">, jako odpowiedź na </w:t>
            </w:r>
            <w:r w:rsidR="001A414B">
              <w:rPr>
                <w:rFonts w:ascii="Verdana" w:eastAsia="Times New Roman" w:hAnsi="Verdana"/>
                <w:sz w:val="20"/>
                <w:szCs w:val="20"/>
              </w:rPr>
              <w:t xml:space="preserve">rosnące </w:t>
            </w:r>
            <w:r w:rsidRPr="00DC5136">
              <w:rPr>
                <w:rFonts w:ascii="Verdana" w:eastAsia="Times New Roman" w:hAnsi="Verdana"/>
                <w:sz w:val="20"/>
                <w:szCs w:val="20"/>
              </w:rPr>
              <w:t>potrzeby użytkowników systemu.</w:t>
            </w:r>
          </w:p>
          <w:p w14:paraId="173240A4" w14:textId="77777777" w:rsidR="00A360FA" w:rsidRPr="00DC5136" w:rsidRDefault="0091122A" w:rsidP="0091122A">
            <w:pPr>
              <w:spacing w:line="276" w:lineRule="auto"/>
              <w:jc w:val="both"/>
              <w:rPr>
                <w:rFonts w:ascii="Verdana" w:eastAsia="Times New Roman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sz w:val="20"/>
                <w:szCs w:val="20"/>
              </w:rPr>
              <w:t>Proponowane zmiany wynikają przede wszystkim z:</w:t>
            </w:r>
          </w:p>
          <w:p w14:paraId="7DE69EF4" w14:textId="50D7591D" w:rsidR="006F64BC" w:rsidRPr="00DC5136" w:rsidRDefault="000222FE" w:rsidP="000222FE">
            <w:pPr>
              <w:numPr>
                <w:ilvl w:val="0"/>
                <w:numId w:val="5"/>
              </w:numPr>
              <w:spacing w:line="276" w:lineRule="auto"/>
              <w:jc w:val="both"/>
              <w:rPr>
                <w:rFonts w:ascii="Verdana" w:eastAsia="Times New Roman" w:hAnsi="Verdana"/>
                <w:sz w:val="20"/>
                <w:szCs w:val="20"/>
              </w:rPr>
            </w:pPr>
            <w:r w:rsidRPr="00DC5136">
              <w:rPr>
                <w:rFonts w:ascii="Verdana" w:eastAsia="Times New Roman" w:hAnsi="Verdana"/>
                <w:sz w:val="20"/>
                <w:szCs w:val="20"/>
              </w:rPr>
              <w:t>konieczności wdrożenia nowych funkcjonalności – jako odpo</w:t>
            </w:r>
            <w:r w:rsidR="00511F87">
              <w:rPr>
                <w:rFonts w:ascii="Verdana" w:eastAsia="Times New Roman" w:hAnsi="Verdana"/>
                <w:sz w:val="20"/>
                <w:szCs w:val="20"/>
              </w:rPr>
              <w:t>wiedzi na potrzeby zgła</w:t>
            </w:r>
            <w:r w:rsidR="004318E3">
              <w:rPr>
                <w:rFonts w:ascii="Verdana" w:eastAsia="Times New Roman" w:hAnsi="Verdana"/>
                <w:sz w:val="20"/>
                <w:szCs w:val="20"/>
              </w:rPr>
              <w:t>sza</w:t>
            </w:r>
            <w:bookmarkStart w:id="0" w:name="_GoBack"/>
            <w:bookmarkEnd w:id="0"/>
            <w:r w:rsidRPr="00DC5136">
              <w:rPr>
                <w:rFonts w:ascii="Verdana" w:eastAsia="Times New Roman" w:hAnsi="Verdana"/>
                <w:sz w:val="20"/>
                <w:szCs w:val="20"/>
              </w:rPr>
              <w:t xml:space="preserve">ne przez </w:t>
            </w:r>
            <w:r w:rsidR="00511F87">
              <w:rPr>
                <w:rFonts w:ascii="Verdana" w:eastAsia="Times New Roman" w:hAnsi="Verdana"/>
                <w:sz w:val="20"/>
                <w:szCs w:val="20"/>
              </w:rPr>
              <w:t xml:space="preserve">użytkowników </w:t>
            </w:r>
            <w:r w:rsidRPr="00DC5136">
              <w:rPr>
                <w:rFonts w:ascii="Verdana" w:eastAsia="Times New Roman" w:hAnsi="Verdana"/>
                <w:sz w:val="20"/>
                <w:szCs w:val="20"/>
              </w:rPr>
              <w:t xml:space="preserve">systemu. Nowe funkcjonalności to przede wszystkim: </w:t>
            </w:r>
          </w:p>
          <w:p w14:paraId="136CEC82" w14:textId="77777777" w:rsidR="006F64BC" w:rsidRPr="00DC5136" w:rsidRDefault="006F64BC" w:rsidP="006F64BC">
            <w:pPr>
              <w:spacing w:line="276" w:lineRule="auto"/>
              <w:ind w:left="720"/>
              <w:jc w:val="both"/>
              <w:rPr>
                <w:rFonts w:ascii="Verdana" w:eastAsia="Times New Roman" w:hAnsi="Verdana"/>
                <w:sz w:val="20"/>
                <w:szCs w:val="20"/>
              </w:rPr>
            </w:pPr>
            <w:r w:rsidRPr="00DC5136">
              <w:rPr>
                <w:rFonts w:ascii="Verdana" w:eastAsia="Times New Roman" w:hAnsi="Verdana"/>
                <w:sz w:val="20"/>
                <w:szCs w:val="20"/>
              </w:rPr>
              <w:t xml:space="preserve">- </w:t>
            </w:r>
            <w:r w:rsidR="000222FE" w:rsidRPr="00DC5136">
              <w:rPr>
                <w:rFonts w:ascii="Verdana" w:eastAsia="Times New Roman" w:hAnsi="Verdana"/>
                <w:sz w:val="20"/>
                <w:szCs w:val="20"/>
              </w:rPr>
              <w:t>możliwość wypełniania e-deklaracji bezpośrednio w systemie przez zdających, a nie jak do tej pory przez dyrektorów szkół na podstawie danych przekazanych w wersji</w:t>
            </w:r>
            <w:r w:rsidRPr="00DC5136">
              <w:rPr>
                <w:rFonts w:ascii="Verdana" w:eastAsia="Times New Roman" w:hAnsi="Verdana"/>
                <w:sz w:val="20"/>
                <w:szCs w:val="20"/>
              </w:rPr>
              <w:t xml:space="preserve"> papierowej przez zdających. </w:t>
            </w:r>
            <w:r w:rsidR="00CF130D" w:rsidRPr="00DC5136">
              <w:rPr>
                <w:rFonts w:ascii="Verdana" w:eastAsia="Times New Roman" w:hAnsi="Verdana"/>
                <w:sz w:val="20"/>
                <w:szCs w:val="20"/>
              </w:rPr>
              <w:t>Funkcjonalność pozwoli wyeliminować podwójne wpisywanie tych samych danych, najpierw przez zdających w formularzu deklaracji, a potem przez dyrektorów do systemu, ograniczyć ryzyko związane z przenoszeniem danych w wersji papierowej, a także</w:t>
            </w:r>
            <w:r w:rsidR="004951A8" w:rsidRPr="00DC5136">
              <w:rPr>
                <w:rFonts w:ascii="Verdana" w:eastAsia="Times New Roman" w:hAnsi="Verdana"/>
                <w:sz w:val="20"/>
                <w:szCs w:val="20"/>
              </w:rPr>
              <w:t xml:space="preserve"> ograniczyć ilość czasu niezbędnego do obsługi egzaminów, zarówno po stronie zdającego, jak i dyrektora szkoły</w:t>
            </w:r>
            <w:r w:rsidR="00CF130D" w:rsidRPr="00DC5136">
              <w:rPr>
                <w:rFonts w:ascii="Verdana" w:eastAsia="Times New Roman" w:hAnsi="Verdana"/>
                <w:sz w:val="20"/>
                <w:szCs w:val="20"/>
              </w:rPr>
              <w:t>.</w:t>
            </w:r>
            <w:r w:rsidR="004951A8" w:rsidRPr="00DC5136">
              <w:rPr>
                <w:rFonts w:ascii="Verdana" w:eastAsia="Times New Roman" w:hAnsi="Verdana"/>
                <w:sz w:val="20"/>
                <w:szCs w:val="20"/>
              </w:rPr>
              <w:t xml:space="preserve"> Pozwoli również na ograniczenie kontaktów międzyludzkich, co jest szczególnie ważne w okresie pandemii;</w:t>
            </w:r>
          </w:p>
          <w:p w14:paraId="54B9E010" w14:textId="0C46440B" w:rsidR="006F64BC" w:rsidRPr="00DC5136" w:rsidRDefault="006F64BC" w:rsidP="006F64BC">
            <w:pPr>
              <w:spacing w:line="276" w:lineRule="auto"/>
              <w:ind w:left="720"/>
              <w:jc w:val="both"/>
              <w:rPr>
                <w:rFonts w:ascii="Verdana" w:eastAsia="Times New Roman" w:hAnsi="Verdana"/>
                <w:sz w:val="20"/>
                <w:szCs w:val="20"/>
              </w:rPr>
            </w:pPr>
            <w:r w:rsidRPr="00DC5136">
              <w:rPr>
                <w:rFonts w:ascii="Verdana" w:eastAsia="Times New Roman" w:hAnsi="Verdana"/>
                <w:sz w:val="20"/>
                <w:szCs w:val="20"/>
              </w:rPr>
              <w:t>- j</w:t>
            </w:r>
            <w:r w:rsidR="000222FE" w:rsidRPr="00DC5136">
              <w:rPr>
                <w:rFonts w:ascii="Verdana" w:eastAsia="Times New Roman" w:hAnsi="Verdana"/>
                <w:sz w:val="20"/>
                <w:szCs w:val="20"/>
              </w:rPr>
              <w:t>edno konto użytkownika dla osób zarzą</w:t>
            </w:r>
            <w:r w:rsidR="004951A8" w:rsidRPr="00DC5136">
              <w:rPr>
                <w:rFonts w:ascii="Verdana" w:eastAsia="Times New Roman" w:hAnsi="Verdana"/>
                <w:sz w:val="20"/>
                <w:szCs w:val="20"/>
              </w:rPr>
              <w:t>dzających kilkoma placówkami</w:t>
            </w:r>
            <w:r w:rsidR="00CD7F0E">
              <w:rPr>
                <w:rFonts w:ascii="Verdana" w:eastAsia="Times New Roman" w:hAnsi="Verdana"/>
                <w:sz w:val="20"/>
                <w:szCs w:val="20"/>
              </w:rPr>
              <w:t>, jako konsekwencja zmian w systemie referencyjnym do KSDO – Systemie Informacji Oświatowej</w:t>
            </w:r>
            <w:r w:rsidR="004951A8" w:rsidRPr="00DC5136">
              <w:rPr>
                <w:rFonts w:ascii="Verdana" w:eastAsia="Times New Roman" w:hAnsi="Verdana"/>
                <w:sz w:val="20"/>
                <w:szCs w:val="20"/>
              </w:rPr>
              <w:t>. Obecnie w przypadku, gdy dyrektorem kilku placówek jest jedna osoba, posiada ona wiele kont użytkownika odpowiadających liczbie placówek, którymi zarządza. Powoduje to konieczność przelogowania się w celu zarządzania danymi różnych placówek. Utworzenie jednego konta użytkownika pozwoliłoby na zarządzanie danymi wszystkich placówek w jednym miejscu, co pozwoli zaoszczędzić czas i ograniczy ryzyko ewentualnych błędów.</w:t>
            </w:r>
          </w:p>
          <w:p w14:paraId="79D59F6C" w14:textId="77777777" w:rsidR="000222FE" w:rsidRPr="00DC5136" w:rsidRDefault="006F64BC" w:rsidP="006F64BC">
            <w:pPr>
              <w:spacing w:line="276" w:lineRule="auto"/>
              <w:ind w:left="720"/>
              <w:jc w:val="both"/>
              <w:rPr>
                <w:rFonts w:ascii="Verdana" w:eastAsia="Times New Roman" w:hAnsi="Verdana"/>
                <w:iCs/>
                <w:sz w:val="20"/>
                <w:szCs w:val="20"/>
              </w:rPr>
            </w:pPr>
            <w:r w:rsidRPr="00DC5136">
              <w:rPr>
                <w:rFonts w:ascii="Verdana" w:eastAsia="Times New Roman" w:hAnsi="Verdana"/>
                <w:sz w:val="20"/>
                <w:szCs w:val="20"/>
              </w:rPr>
              <w:t>- i</w:t>
            </w:r>
            <w:r w:rsidR="000222FE" w:rsidRPr="00DC5136">
              <w:rPr>
                <w:rFonts w:ascii="Verdana" w:eastAsia="Times New Roman" w:hAnsi="Verdana"/>
                <w:sz w:val="20"/>
                <w:szCs w:val="20"/>
              </w:rPr>
              <w:t>ntegracja w ramach kont użytkownika z SIOEPKZ.</w:t>
            </w:r>
            <w:r w:rsidR="00DF19E6" w:rsidRPr="00DC5136">
              <w:rPr>
                <w:rFonts w:ascii="Verdana" w:eastAsia="Times New Roman" w:hAnsi="Verdana"/>
                <w:sz w:val="20"/>
                <w:szCs w:val="20"/>
              </w:rPr>
              <w:t xml:space="preserve"> Obecnie za pomocą jednego logowania można uzyskać dostęp do danych zwartych w: SIO, SIO_EO</w:t>
            </w:r>
            <w:r w:rsidR="00376BA7" w:rsidRPr="00DC5136">
              <w:rPr>
                <w:rFonts w:ascii="Verdana" w:eastAsia="Times New Roman" w:hAnsi="Verdana"/>
                <w:sz w:val="20"/>
                <w:szCs w:val="20"/>
              </w:rPr>
              <w:t xml:space="preserve"> (egzaminy ogólne)</w:t>
            </w:r>
            <w:r w:rsidR="00DF19E6" w:rsidRPr="00DC5136">
              <w:rPr>
                <w:rFonts w:ascii="Verdana" w:eastAsia="Times New Roman" w:hAnsi="Verdana"/>
                <w:sz w:val="20"/>
                <w:szCs w:val="20"/>
              </w:rPr>
              <w:t>, strefie pracownika. Nowa funkcjonalność pozwoli po jednokrotny</w:t>
            </w:r>
            <w:r w:rsidR="006E4D6E" w:rsidRPr="00DC5136">
              <w:rPr>
                <w:rFonts w:ascii="Verdana" w:eastAsia="Times New Roman" w:hAnsi="Verdana"/>
                <w:sz w:val="20"/>
                <w:szCs w:val="20"/>
              </w:rPr>
              <w:t>m</w:t>
            </w:r>
            <w:r w:rsidR="00DF19E6" w:rsidRPr="00DC5136">
              <w:rPr>
                <w:rFonts w:ascii="Verdana" w:eastAsia="Times New Roman" w:hAnsi="Verdana"/>
                <w:sz w:val="20"/>
                <w:szCs w:val="20"/>
              </w:rPr>
              <w:t xml:space="preserve"> logowaniu na dostęp również do danych zawartych w SIOEPKZ (egzamin</w:t>
            </w:r>
            <w:r w:rsidR="00376BA7" w:rsidRPr="00DC5136">
              <w:rPr>
                <w:rFonts w:ascii="Verdana" w:eastAsia="Times New Roman" w:hAnsi="Verdana"/>
                <w:sz w:val="20"/>
                <w:szCs w:val="20"/>
              </w:rPr>
              <w:t>y</w:t>
            </w:r>
            <w:r w:rsidR="00DF19E6" w:rsidRPr="00DC5136">
              <w:rPr>
                <w:rFonts w:ascii="Verdana" w:eastAsia="Times New Roman" w:hAnsi="Verdana"/>
                <w:sz w:val="20"/>
                <w:szCs w:val="20"/>
              </w:rPr>
              <w:t xml:space="preserve"> potwierdzają</w:t>
            </w:r>
            <w:r w:rsidR="00376BA7" w:rsidRPr="00DC5136">
              <w:rPr>
                <w:rFonts w:ascii="Verdana" w:eastAsia="Times New Roman" w:hAnsi="Verdana"/>
                <w:sz w:val="20"/>
                <w:szCs w:val="20"/>
              </w:rPr>
              <w:t>ce</w:t>
            </w:r>
            <w:r w:rsidR="00DF19E6" w:rsidRPr="00DC5136">
              <w:rPr>
                <w:rFonts w:ascii="Verdana" w:eastAsia="Times New Roman" w:hAnsi="Verdana"/>
                <w:sz w:val="20"/>
                <w:szCs w:val="20"/>
              </w:rPr>
              <w:t xml:space="preserve"> kwalifikacj</w:t>
            </w:r>
            <w:r w:rsidR="00376BA7" w:rsidRPr="00DC5136">
              <w:rPr>
                <w:rFonts w:ascii="Verdana" w:eastAsia="Times New Roman" w:hAnsi="Verdana"/>
                <w:sz w:val="20"/>
                <w:szCs w:val="20"/>
              </w:rPr>
              <w:t>e</w:t>
            </w:r>
            <w:r w:rsidR="00DF19E6" w:rsidRPr="00DC5136">
              <w:rPr>
                <w:rFonts w:ascii="Verdana" w:eastAsia="Times New Roman" w:hAnsi="Verdana"/>
                <w:sz w:val="20"/>
                <w:szCs w:val="20"/>
              </w:rPr>
              <w:t xml:space="preserve"> w zawodzie)</w:t>
            </w:r>
            <w:r w:rsidR="002C5128" w:rsidRPr="00DC5136">
              <w:rPr>
                <w:rFonts w:ascii="Verdana" w:eastAsia="Times New Roman" w:hAnsi="Verdana"/>
                <w:sz w:val="20"/>
                <w:szCs w:val="20"/>
              </w:rPr>
              <w:t xml:space="preserve">. Integracja </w:t>
            </w:r>
            <w:r w:rsidR="00BA366F" w:rsidRPr="00DC5136">
              <w:rPr>
                <w:rFonts w:ascii="Verdana" w:eastAsia="Times New Roman" w:hAnsi="Verdana"/>
                <w:sz w:val="20"/>
                <w:szCs w:val="20"/>
              </w:rPr>
              <w:t>rozszerzy zakres danych z systemu oświat dostępnych z poziomu jednego konta</w:t>
            </w:r>
            <w:r w:rsidR="006E4D6E" w:rsidRPr="00DC5136">
              <w:rPr>
                <w:rFonts w:ascii="Verdana" w:eastAsia="Times New Roman" w:hAnsi="Verdana"/>
                <w:iCs/>
                <w:sz w:val="20"/>
                <w:szCs w:val="20"/>
              </w:rPr>
              <w:t>, usprawni komunikację i przepływ</w:t>
            </w:r>
            <w:r w:rsidR="002C5128" w:rsidRPr="00DC5136">
              <w:rPr>
                <w:rFonts w:ascii="Verdana" w:eastAsia="Times New Roman" w:hAnsi="Verdana"/>
                <w:iCs/>
                <w:sz w:val="20"/>
                <w:szCs w:val="20"/>
              </w:rPr>
              <w:t xml:space="preserve"> informacji pomiędzy jednostkami  przetwarzającymi </w:t>
            </w:r>
            <w:r w:rsidR="00BA366F" w:rsidRPr="00DC5136">
              <w:rPr>
                <w:rFonts w:ascii="Verdana" w:eastAsia="Times New Roman" w:hAnsi="Verdana"/>
                <w:iCs/>
                <w:sz w:val="20"/>
                <w:szCs w:val="20"/>
              </w:rPr>
              <w:t>te dane.</w:t>
            </w:r>
          </w:p>
          <w:p w14:paraId="1351FBBB" w14:textId="77777777" w:rsidR="0093783F" w:rsidRPr="00DC5136" w:rsidRDefault="0093783F" w:rsidP="0093783F">
            <w:pPr>
              <w:numPr>
                <w:ilvl w:val="0"/>
                <w:numId w:val="5"/>
              </w:numPr>
              <w:jc w:val="both"/>
              <w:rPr>
                <w:rFonts w:ascii="Verdana" w:eastAsia="Times New Roman" w:hAnsi="Verdana"/>
                <w:sz w:val="20"/>
                <w:szCs w:val="20"/>
              </w:rPr>
            </w:pPr>
            <w:r w:rsidRPr="00DC5136">
              <w:rPr>
                <w:rFonts w:ascii="Verdana" w:eastAsia="Times New Roman" w:hAnsi="Verdana"/>
                <w:sz w:val="20"/>
                <w:szCs w:val="20"/>
              </w:rPr>
              <w:t>konieczności przeprowadzenia migracji wyników historycznych egzaminów gimnazjalnych, szóstoklasisty i eksternistyc</w:t>
            </w:r>
            <w:r w:rsidR="00D037BC" w:rsidRPr="00DC5136">
              <w:rPr>
                <w:rFonts w:ascii="Verdana" w:eastAsia="Times New Roman" w:hAnsi="Verdana"/>
                <w:sz w:val="20"/>
                <w:szCs w:val="20"/>
              </w:rPr>
              <w:t>znych, tak, aby dane wszystkich dotychczas przeprowadzonych egzaminów ujętych w systemach wszystkich 8 OKE</w:t>
            </w:r>
            <w:r w:rsidRPr="00DC5136">
              <w:rPr>
                <w:rFonts w:ascii="Verdana" w:eastAsia="Times New Roman" w:hAnsi="Verdana"/>
                <w:sz w:val="20"/>
                <w:szCs w:val="20"/>
              </w:rPr>
              <w:t xml:space="preserve"> (łącznie z przeprowadzoną już migracją wyników maturalnych) znajdowały się w jednym miejscu</w:t>
            </w:r>
            <w:r w:rsidR="00D037BC" w:rsidRPr="00DC5136">
              <w:rPr>
                <w:rFonts w:ascii="Verdana" w:eastAsia="Times New Roman" w:hAnsi="Verdana"/>
                <w:sz w:val="20"/>
                <w:szCs w:val="20"/>
              </w:rPr>
              <w:t xml:space="preserve"> (w KSDO)</w:t>
            </w:r>
            <w:r w:rsidRPr="00DC5136">
              <w:rPr>
                <w:rFonts w:ascii="Verdana" w:eastAsia="Times New Roman" w:hAnsi="Verdana"/>
                <w:sz w:val="20"/>
                <w:szCs w:val="20"/>
              </w:rPr>
              <w:t>, co znacznie ułatwi prowadzenie działań o charakterze analityczno-statystycznym. Umożliwi prowadzenie analiz porównujących wyniki egzaminów z poszczególnych lat z poziomu placówki, gminy, powiatu, województwa czy kraju. Pozwoli również na śledzenie ścieżek edukacyjnych uczniów wprowadzonych do systemu, co ma duże znaczenie przy prowadzeniu badań, chociażby w kontekście kwalifikacji niezbędnych na rynku pracy</w:t>
            </w:r>
            <w:r w:rsidR="0099090E" w:rsidRPr="00DC5136">
              <w:rPr>
                <w:rFonts w:ascii="Verdana" w:eastAsia="Times New Roman" w:hAnsi="Verdana"/>
                <w:sz w:val="20"/>
                <w:szCs w:val="20"/>
              </w:rPr>
              <w:t xml:space="preserve"> czy wyborów absolwentów w </w:t>
            </w:r>
            <w:r w:rsidR="0099090E" w:rsidRPr="00DC5136">
              <w:rPr>
                <w:rFonts w:ascii="Verdana" w:eastAsia="Times New Roman" w:hAnsi="Verdana"/>
                <w:sz w:val="20"/>
                <w:szCs w:val="20"/>
              </w:rPr>
              <w:lastRenderedPageBreak/>
              <w:t>kontekście uczelni wyższych</w:t>
            </w:r>
            <w:r w:rsidRPr="00DC5136">
              <w:rPr>
                <w:rFonts w:ascii="Verdana" w:eastAsia="Times New Roman" w:hAnsi="Verdana"/>
                <w:sz w:val="20"/>
                <w:szCs w:val="20"/>
              </w:rPr>
              <w:t>.</w:t>
            </w:r>
            <w:r w:rsidR="00D037BC" w:rsidRPr="00DC5136">
              <w:rPr>
                <w:rFonts w:ascii="Verdana" w:eastAsia="Times New Roman" w:hAnsi="Verdana"/>
                <w:sz w:val="20"/>
                <w:szCs w:val="20"/>
              </w:rPr>
              <w:t xml:space="preserve"> Uwzględnienie danych historycznych</w:t>
            </w:r>
            <w:r w:rsidR="00C15774" w:rsidRPr="00DC5136">
              <w:rPr>
                <w:rFonts w:ascii="Verdana" w:eastAsia="Times New Roman" w:hAnsi="Verdana"/>
                <w:sz w:val="20"/>
                <w:szCs w:val="20"/>
              </w:rPr>
              <w:t xml:space="preserve"> spowoduje konieczność rozszerzenia zakresu usług oferowanych przez dostawcę oprogramowania do przetwarzania danych, analiz statystycznych i raportowania;</w:t>
            </w:r>
          </w:p>
          <w:p w14:paraId="4B32F466" w14:textId="77777777" w:rsidR="000222FE" w:rsidRPr="00DC5136" w:rsidRDefault="000222FE" w:rsidP="000222FE">
            <w:pPr>
              <w:pStyle w:val="Akapitzlist"/>
              <w:numPr>
                <w:ilvl w:val="0"/>
                <w:numId w:val="5"/>
              </w:numPr>
              <w:contextualSpacing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DC5136">
              <w:rPr>
                <w:rFonts w:ascii="Verdana" w:hAnsi="Verdana"/>
                <w:sz w:val="20"/>
                <w:szCs w:val="20"/>
              </w:rPr>
              <w:t>konieczności wydłużenia projektu w związku ze zmianami w harmonogramie i sposobie przeprowadzania egzaminów zewnętrznych w 2020 r., co miało związek z pandemią COVID – 19</w:t>
            </w:r>
            <w:r w:rsidR="003A36F7" w:rsidRPr="00DC5136">
              <w:rPr>
                <w:rFonts w:ascii="Verdana" w:hAnsi="Verdana"/>
                <w:sz w:val="20"/>
                <w:szCs w:val="20"/>
              </w:rPr>
              <w:t>, a także ze zmienioną formułą egzaminów zewnętrznych, które będą przeprowadzane w 2021 r. Zgodnie z Rozporządzeniem Ministra Edukacji i Nauki z 16 grudnia 2020 r. zmieniającego rozporządzenie w sprawie szczególnych rozwiązań w okresie czasowego ograniczenia funkcjonowania jednostek systemu oświaty w związku z zapobieganiem, przeciwdziałaniem i zwalczaniem CoVid-19, w roku szkolnym 2020/2021 nie będzie obowiązku przystępowania do egzaminów ustnych oraz zniesiony zostanie również obowiązek przystępowania do egzaminu z przedmiotu dodatkowego.</w:t>
            </w:r>
            <w:r w:rsidR="005C78BE" w:rsidRPr="00DC5136">
              <w:rPr>
                <w:rFonts w:ascii="Verdana" w:hAnsi="Verdana"/>
                <w:sz w:val="20"/>
                <w:szCs w:val="20"/>
              </w:rPr>
              <w:t xml:space="preserve"> Powyższe zmiany spowodowały</w:t>
            </w:r>
            <w:r w:rsidR="00511F87">
              <w:rPr>
                <w:rFonts w:ascii="Verdana" w:hAnsi="Verdana"/>
                <w:sz w:val="20"/>
                <w:szCs w:val="20"/>
              </w:rPr>
              <w:t xml:space="preserve"> konieczność przeprowadzenia</w:t>
            </w:r>
            <w:r w:rsidR="005C78BE" w:rsidRPr="00DC5136">
              <w:rPr>
                <w:rFonts w:ascii="Verdana" w:hAnsi="Verdana"/>
                <w:sz w:val="20"/>
                <w:szCs w:val="20"/>
              </w:rPr>
              <w:t>:</w:t>
            </w:r>
          </w:p>
          <w:p w14:paraId="7CD6C11F" w14:textId="77777777" w:rsidR="005C78BE" w:rsidRPr="00DC5136" w:rsidRDefault="005C78BE" w:rsidP="005C78BE">
            <w:pPr>
              <w:pStyle w:val="Akapitzlist"/>
              <w:contextualSpacing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DC5136">
              <w:rPr>
                <w:rFonts w:ascii="Verdana" w:hAnsi="Verdana"/>
                <w:sz w:val="20"/>
                <w:szCs w:val="20"/>
              </w:rPr>
              <w:t>- analiz</w:t>
            </w:r>
            <w:r w:rsidR="00511F87">
              <w:rPr>
                <w:rFonts w:ascii="Verdana" w:hAnsi="Verdana"/>
                <w:sz w:val="20"/>
                <w:szCs w:val="20"/>
              </w:rPr>
              <w:t>y</w:t>
            </w:r>
            <w:r w:rsidRPr="00DC5136">
              <w:rPr>
                <w:rFonts w:ascii="Verdana" w:hAnsi="Verdana"/>
                <w:sz w:val="20"/>
                <w:szCs w:val="20"/>
              </w:rPr>
              <w:t xml:space="preserve"> funkcjonalności systemowych, na które wpływ miała zmiana rozporządzenia,</w:t>
            </w:r>
          </w:p>
          <w:p w14:paraId="55BBBAD2" w14:textId="77777777" w:rsidR="005C78BE" w:rsidRPr="00DC5136" w:rsidRDefault="005C78BE" w:rsidP="005C78BE">
            <w:pPr>
              <w:pStyle w:val="Akapitzlist"/>
              <w:contextualSpacing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DC5136">
              <w:rPr>
                <w:rFonts w:ascii="Verdana" w:hAnsi="Verdana"/>
                <w:sz w:val="20"/>
                <w:szCs w:val="20"/>
              </w:rPr>
              <w:t>- zmian</w:t>
            </w:r>
            <w:r w:rsidR="00511F87">
              <w:rPr>
                <w:rFonts w:ascii="Verdana" w:hAnsi="Verdana"/>
                <w:sz w:val="20"/>
                <w:szCs w:val="20"/>
              </w:rPr>
              <w:t>y</w:t>
            </w:r>
            <w:r w:rsidRPr="00DC5136">
              <w:rPr>
                <w:rFonts w:ascii="Verdana" w:hAnsi="Verdana"/>
                <w:sz w:val="20"/>
                <w:szCs w:val="20"/>
              </w:rPr>
              <w:t xml:space="preserve"> deklaracji egzaminacyjnych,</w:t>
            </w:r>
          </w:p>
          <w:p w14:paraId="1DFAEE2C" w14:textId="77777777" w:rsidR="005C78BE" w:rsidRPr="00DC5136" w:rsidRDefault="005C78BE" w:rsidP="005C78BE">
            <w:pPr>
              <w:pStyle w:val="Akapitzlist"/>
              <w:contextualSpacing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DC5136">
              <w:rPr>
                <w:rFonts w:ascii="Verdana" w:hAnsi="Verdana"/>
                <w:sz w:val="20"/>
                <w:szCs w:val="20"/>
              </w:rPr>
              <w:t>- zmian</w:t>
            </w:r>
            <w:r w:rsidR="00511F87">
              <w:rPr>
                <w:rFonts w:ascii="Verdana" w:hAnsi="Verdana"/>
                <w:sz w:val="20"/>
                <w:szCs w:val="20"/>
              </w:rPr>
              <w:t>y</w:t>
            </w:r>
            <w:r w:rsidRPr="00DC5136">
              <w:rPr>
                <w:rFonts w:ascii="Verdana" w:hAnsi="Verdana"/>
                <w:sz w:val="20"/>
                <w:szCs w:val="20"/>
              </w:rPr>
              <w:t xml:space="preserve"> walidacji poprawności zgłaszanych danych,</w:t>
            </w:r>
          </w:p>
          <w:p w14:paraId="3E8FC655" w14:textId="77777777" w:rsidR="005C78BE" w:rsidRPr="00DC5136" w:rsidRDefault="005C78BE" w:rsidP="005C78BE">
            <w:pPr>
              <w:pStyle w:val="Akapitzlist"/>
              <w:contextualSpacing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DC5136">
              <w:rPr>
                <w:rFonts w:ascii="Verdana" w:hAnsi="Verdana"/>
                <w:sz w:val="20"/>
                <w:szCs w:val="20"/>
              </w:rPr>
              <w:t>- zmian</w:t>
            </w:r>
            <w:r w:rsidR="00511F87">
              <w:rPr>
                <w:rFonts w:ascii="Verdana" w:hAnsi="Verdana"/>
                <w:sz w:val="20"/>
                <w:szCs w:val="20"/>
              </w:rPr>
              <w:t>y</w:t>
            </w:r>
            <w:r w:rsidRPr="00DC5136">
              <w:rPr>
                <w:rFonts w:ascii="Verdana" w:hAnsi="Verdana"/>
                <w:sz w:val="20"/>
                <w:szCs w:val="20"/>
              </w:rPr>
              <w:t xml:space="preserve"> sposobu przeliczania wyników maturalnych,</w:t>
            </w:r>
          </w:p>
          <w:p w14:paraId="2CB87522" w14:textId="77777777" w:rsidR="003E398E" w:rsidRPr="00DC5136" w:rsidRDefault="005C78BE" w:rsidP="005C78BE">
            <w:pPr>
              <w:pStyle w:val="Akapitzlist"/>
              <w:contextualSpacing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DC5136">
              <w:rPr>
                <w:rFonts w:ascii="Verdana" w:hAnsi="Verdana"/>
                <w:sz w:val="20"/>
                <w:szCs w:val="20"/>
              </w:rPr>
              <w:t>- zmian</w:t>
            </w:r>
            <w:r w:rsidR="00511F87">
              <w:rPr>
                <w:rFonts w:ascii="Verdana" w:hAnsi="Verdana"/>
                <w:sz w:val="20"/>
                <w:szCs w:val="20"/>
              </w:rPr>
              <w:t>y</w:t>
            </w:r>
            <w:r w:rsidR="00241316" w:rsidRPr="00DC5136">
              <w:rPr>
                <w:rFonts w:ascii="Verdana" w:hAnsi="Verdana"/>
                <w:sz w:val="20"/>
                <w:szCs w:val="20"/>
              </w:rPr>
              <w:t xml:space="preserve"> w zapisach występujących na wydrukach: świadectw, aneksów, zaświadczeń.</w:t>
            </w:r>
          </w:p>
          <w:p w14:paraId="3B72736A" w14:textId="77777777" w:rsidR="005C78BE" w:rsidRPr="00DC5136" w:rsidRDefault="003E398E" w:rsidP="005C78BE">
            <w:pPr>
              <w:pStyle w:val="Akapitzlist"/>
              <w:contextualSpacing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DC5136">
              <w:rPr>
                <w:rFonts w:ascii="Verdana" w:hAnsi="Verdana"/>
                <w:sz w:val="20"/>
                <w:szCs w:val="20"/>
              </w:rPr>
              <w:t xml:space="preserve">Szacuje się, że do tej pory konieczność „nadprogramowych” prac związanych z pandemią spowodowała około dwumiesięczne opóźnienia w realizacji </w:t>
            </w:r>
            <w:r w:rsidR="009268D6">
              <w:rPr>
                <w:rFonts w:ascii="Verdana" w:hAnsi="Verdana"/>
                <w:sz w:val="20"/>
                <w:szCs w:val="20"/>
              </w:rPr>
              <w:t xml:space="preserve">planowanego wcześniej </w:t>
            </w:r>
            <w:r w:rsidRPr="00DC5136">
              <w:rPr>
                <w:rFonts w:ascii="Verdana" w:hAnsi="Verdana"/>
                <w:sz w:val="20"/>
                <w:szCs w:val="20"/>
              </w:rPr>
              <w:t>harmonogramu projektu.</w:t>
            </w:r>
            <w:r w:rsidR="00EC2FFF" w:rsidRPr="00DC5136">
              <w:rPr>
                <w:rFonts w:ascii="Verdana" w:hAnsi="Verdana"/>
                <w:sz w:val="20"/>
                <w:szCs w:val="20"/>
              </w:rPr>
              <w:t xml:space="preserve"> Należy przy tym zauważyć, że wszelkie prace prowadzone w projekcie</w:t>
            </w:r>
            <w:r w:rsidR="007B645C" w:rsidRPr="00DC5136">
              <w:rPr>
                <w:rFonts w:ascii="Verdana" w:hAnsi="Verdana"/>
                <w:sz w:val="20"/>
                <w:szCs w:val="20"/>
              </w:rPr>
              <w:t xml:space="preserve"> muszą uwzględniać harmonogram egzaminów zewnętrznych, a wszelkie zmiany w funkcjonalnościach systemu nie mogą odbywać się w trakcie przeprowadzania i obsługi egzaminów;</w:t>
            </w:r>
            <w:r w:rsidR="00EC2FFF" w:rsidRPr="00DC513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5C78BE" w:rsidRPr="00DC5136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30C29016" w14:textId="77777777" w:rsidR="000222FE" w:rsidRPr="00DC5136" w:rsidRDefault="000222FE" w:rsidP="000222FE">
            <w:pPr>
              <w:numPr>
                <w:ilvl w:val="0"/>
                <w:numId w:val="5"/>
              </w:numPr>
              <w:jc w:val="both"/>
              <w:rPr>
                <w:rFonts w:ascii="Verdana" w:eastAsia="Times New Roman" w:hAnsi="Verdana"/>
                <w:sz w:val="20"/>
                <w:szCs w:val="20"/>
              </w:rPr>
            </w:pPr>
            <w:r w:rsidRPr="00DC5136">
              <w:rPr>
                <w:rFonts w:ascii="Verdana" w:eastAsia="Times New Roman" w:hAnsi="Verdana"/>
                <w:sz w:val="20"/>
                <w:szCs w:val="20"/>
              </w:rPr>
              <w:t>rozwiązania umowy partnerskiej przez Partnera technologicznego – ITSS Sp. z o.o. i koniecznością ogłoszenia postępowań na realizację zadań wcześniej przez niego realizowanych, z których większość została ogłoszona w długiej procedurze, co opóźniło niektóre działania pr</w:t>
            </w:r>
            <w:r w:rsidR="00AB622A" w:rsidRPr="00DC5136">
              <w:rPr>
                <w:rFonts w:ascii="Verdana" w:eastAsia="Times New Roman" w:hAnsi="Verdana"/>
                <w:sz w:val="20"/>
                <w:szCs w:val="20"/>
              </w:rPr>
              <w:t>ojektowe nawet o kilka miesięcy. Z dniem 31.03.2020 r. Partner wypowiedział umowę partnerstwa, co było konsekwencją</w:t>
            </w:r>
            <w:r w:rsidR="00903EBE" w:rsidRPr="00DC5136">
              <w:rPr>
                <w:rFonts w:ascii="Verdana" w:eastAsia="Times New Roman" w:hAnsi="Verdana"/>
                <w:sz w:val="20"/>
                <w:szCs w:val="20"/>
              </w:rPr>
              <w:t xml:space="preserve"> sporu</w:t>
            </w:r>
            <w:r w:rsidR="00AB622A" w:rsidRPr="00DC5136">
              <w:rPr>
                <w:rFonts w:ascii="Verdana" w:eastAsia="Times New Roman" w:hAnsi="Verdana"/>
                <w:sz w:val="20"/>
                <w:szCs w:val="20"/>
              </w:rPr>
              <w:t xml:space="preserve"> dotyczącego kwalifikowalności VAT po jego stronie. </w:t>
            </w:r>
            <w:r w:rsidR="00D87A8E" w:rsidRPr="00DC5136">
              <w:rPr>
                <w:rFonts w:ascii="Verdana" w:eastAsia="Times New Roman" w:hAnsi="Verdana"/>
                <w:sz w:val="20"/>
                <w:szCs w:val="20"/>
              </w:rPr>
              <w:t xml:space="preserve">Centrum Informatyczne Edukacji, najszybciej jak to było możliwe ogłosiło zamówienia publiczne na usługi wykonywane dotychczas przez byłego Partnera, w tym przede wszystkim na usługę utrzymania i rozwoju KSDO, która pozwala chociażby na wprowadzanie zmian w systemie od strony technologicznej. Wyłonienie wykonawcy usługi wymagało przeprowadzenia dodatkowej modyfikacji wniosku o dofinansowanie, ze względu na fakt, że jedyna oferta, która wpłynęła w odpowiedzi na zamówienie przewyższała wartość ujętą w projekcie. Prace od strony programistycznej zostały wznowione pod koniec czerwca. </w:t>
            </w:r>
          </w:p>
          <w:p w14:paraId="331E6905" w14:textId="77777777" w:rsidR="00657C67" w:rsidRPr="00DC5136" w:rsidRDefault="000222FE" w:rsidP="00E55A03">
            <w:pPr>
              <w:numPr>
                <w:ilvl w:val="0"/>
                <w:numId w:val="5"/>
              </w:numPr>
              <w:jc w:val="both"/>
              <w:rPr>
                <w:rFonts w:ascii="Verdana" w:eastAsia="Times New Roman" w:hAnsi="Verdana"/>
                <w:sz w:val="20"/>
                <w:szCs w:val="20"/>
              </w:rPr>
            </w:pPr>
            <w:r w:rsidRPr="00DC5136">
              <w:rPr>
                <w:rFonts w:ascii="Verdana" w:eastAsia="Times New Roman" w:hAnsi="Verdana"/>
                <w:sz w:val="20"/>
                <w:szCs w:val="20"/>
              </w:rPr>
              <w:t xml:space="preserve">objęcia działaniami projektowymi kolejnej sesji egzaminów zewnętrznych (wiosna 2022, aż do czasu publikacji i analizy wyników – lipiec-sierpień 2022), co pozwoli na przeprowadzenie pilotażu nowych funkcjonalności oraz na ponowne przetestowanie funkcjonalności wdrożonych </w:t>
            </w:r>
            <w:r w:rsidR="00D037BC" w:rsidRPr="00DC5136">
              <w:rPr>
                <w:rFonts w:ascii="Verdana" w:eastAsia="Times New Roman" w:hAnsi="Verdana"/>
                <w:sz w:val="20"/>
                <w:szCs w:val="20"/>
              </w:rPr>
              <w:t xml:space="preserve">we wcześniejszych latach (w tym uwzględnienie </w:t>
            </w:r>
            <w:r w:rsidRPr="00DC5136">
              <w:rPr>
                <w:rFonts w:ascii="Verdana" w:eastAsia="Times New Roman" w:hAnsi="Verdana"/>
                <w:sz w:val="20"/>
                <w:szCs w:val="20"/>
              </w:rPr>
              <w:t>wniosków z ewaluacji poprzednich pilotaży).</w:t>
            </w:r>
          </w:p>
          <w:p w14:paraId="30AFB42B" w14:textId="77777777" w:rsidR="00E55A03" w:rsidRPr="00DC5136" w:rsidRDefault="00E55A03" w:rsidP="00E55A03">
            <w:pPr>
              <w:jc w:val="both"/>
              <w:rPr>
                <w:rFonts w:ascii="Verdana" w:eastAsia="Times New Roman" w:hAnsi="Verdana"/>
                <w:sz w:val="20"/>
                <w:szCs w:val="20"/>
              </w:rPr>
            </w:pPr>
            <w:r w:rsidRPr="00DC5136">
              <w:rPr>
                <w:rFonts w:ascii="Verdana" w:eastAsia="Times New Roman" w:hAnsi="Verdana"/>
                <w:sz w:val="20"/>
                <w:szCs w:val="20"/>
              </w:rPr>
              <w:t>Najważniejsze koszty związane ze zwiększeniem zakresu i wydłużeniem projektu obejmują:</w:t>
            </w:r>
          </w:p>
          <w:p w14:paraId="5F9F96CF" w14:textId="77777777" w:rsidR="00E55A03" w:rsidRPr="00DC5136" w:rsidRDefault="0056406C" w:rsidP="0056406C">
            <w:pPr>
              <w:jc w:val="both"/>
              <w:rPr>
                <w:rFonts w:ascii="Verdana" w:eastAsia="Times New Roman" w:hAnsi="Verdana"/>
                <w:sz w:val="20"/>
                <w:szCs w:val="20"/>
              </w:rPr>
            </w:pPr>
            <w:r w:rsidRPr="00DC5136">
              <w:rPr>
                <w:rFonts w:ascii="Verdana" w:eastAsia="Times New Roman" w:hAnsi="Verdana"/>
                <w:sz w:val="20"/>
                <w:szCs w:val="20"/>
              </w:rPr>
              <w:t xml:space="preserve">1. </w:t>
            </w:r>
            <w:r w:rsidR="00E55A03" w:rsidRPr="00DC5136">
              <w:rPr>
                <w:rFonts w:ascii="Verdana" w:eastAsia="Times New Roman" w:hAnsi="Verdana"/>
                <w:sz w:val="20"/>
                <w:szCs w:val="20"/>
              </w:rPr>
              <w:t xml:space="preserve">wydatki na </w:t>
            </w:r>
            <w:r w:rsidR="00C350BD" w:rsidRPr="00DC5136">
              <w:rPr>
                <w:rFonts w:ascii="Verdana" w:eastAsia="Times New Roman" w:hAnsi="Verdana"/>
                <w:sz w:val="20"/>
                <w:szCs w:val="20"/>
              </w:rPr>
              <w:t xml:space="preserve">prace rozwojowe KSDO, w ramach których zostaną opracowane nowe ww. funkcjonalności, a także będą weryfikowane i aktualizowane na bieżąco już istniejące funkcjonalności w wyniku uwag zgłoszonych przez użytkowników systemu, a także w konsekwencji zmian prawnych wprowadzanych głównie w obszarze przeprowadzania egzaminów zewnętrznych. W ramach prac rozwojowych zostaną przeprowadzone również migracje </w:t>
            </w:r>
            <w:r w:rsidR="005B2757">
              <w:rPr>
                <w:rFonts w:ascii="Verdana" w:eastAsia="Times New Roman" w:hAnsi="Verdana"/>
                <w:sz w:val="20"/>
                <w:szCs w:val="20"/>
              </w:rPr>
              <w:t>danych</w:t>
            </w:r>
            <w:r w:rsidR="00C350BD" w:rsidRPr="00DC5136">
              <w:rPr>
                <w:rFonts w:ascii="Verdana" w:eastAsia="Times New Roman" w:hAnsi="Verdana"/>
                <w:sz w:val="20"/>
                <w:szCs w:val="20"/>
              </w:rPr>
              <w:t xml:space="preserve"> historycznych. Szacowanie wartości powyższych działań zostało dokonane na podstawie doświadczeń Beneficjenta z realizacji usł</w:t>
            </w:r>
            <w:r w:rsidR="00935330" w:rsidRPr="00DC5136">
              <w:rPr>
                <w:rFonts w:ascii="Verdana" w:eastAsia="Times New Roman" w:hAnsi="Verdana"/>
                <w:sz w:val="20"/>
                <w:szCs w:val="20"/>
              </w:rPr>
              <w:t xml:space="preserve">ug o </w:t>
            </w:r>
            <w:r w:rsidR="00935330" w:rsidRPr="00DC5136">
              <w:rPr>
                <w:rFonts w:ascii="Verdana" w:eastAsia="Times New Roman" w:hAnsi="Verdana"/>
                <w:sz w:val="20"/>
                <w:szCs w:val="20"/>
              </w:rPr>
              <w:lastRenderedPageBreak/>
              <w:t>podobnym zakresie. Zmiany będą konsumowały ok.</w:t>
            </w:r>
            <w:r w:rsidR="009B4AE8" w:rsidRPr="00DC5136">
              <w:rPr>
                <w:rFonts w:ascii="Verdana" w:eastAsia="Times New Roman" w:hAnsi="Verdana"/>
                <w:sz w:val="20"/>
                <w:szCs w:val="20"/>
              </w:rPr>
              <w:t xml:space="preserve"> 55</w:t>
            </w:r>
            <w:r w:rsidR="00935330" w:rsidRPr="00DC5136">
              <w:rPr>
                <w:rFonts w:ascii="Verdana" w:eastAsia="Times New Roman" w:hAnsi="Verdana"/>
                <w:sz w:val="20"/>
                <w:szCs w:val="20"/>
              </w:rPr>
              <w:t xml:space="preserve"> % planowanego zwiększenia budżetu;</w:t>
            </w:r>
          </w:p>
          <w:p w14:paraId="08695E17" w14:textId="77777777" w:rsidR="0056406C" w:rsidRPr="00DC5136" w:rsidRDefault="0056406C" w:rsidP="0056406C">
            <w:pPr>
              <w:rPr>
                <w:rFonts w:ascii="Verdana" w:hAnsi="Verdana"/>
                <w:sz w:val="20"/>
                <w:szCs w:val="20"/>
              </w:rPr>
            </w:pPr>
            <w:r w:rsidRPr="00DC5136">
              <w:rPr>
                <w:rFonts w:ascii="Verdana" w:hAnsi="Verdana"/>
                <w:sz w:val="20"/>
                <w:szCs w:val="20"/>
              </w:rPr>
              <w:t>2. koszty związane z rozszerzeniem i bieżącą obsługą warstwy analityczno-raportowej, w tym zakup rozszerzeń oprogramowania wraz ze wsparciem, stworzenie warstwy analityczno-raportowej dla danych historycznych</w:t>
            </w:r>
            <w:r w:rsidR="003A2E4F" w:rsidRPr="00DC5136">
              <w:rPr>
                <w:rFonts w:ascii="Verdana" w:hAnsi="Verdana"/>
                <w:sz w:val="20"/>
                <w:szCs w:val="20"/>
              </w:rPr>
              <w:t>, opracowywanie i publikację raportów (również w formie graficznej) dla nowych grup odbiorców i w nowych miejscach publikacji – ok. 15%</w:t>
            </w:r>
            <w:r w:rsidR="009B4AE8" w:rsidRPr="00DC5136">
              <w:rPr>
                <w:rFonts w:ascii="Verdana" w:hAnsi="Verdana"/>
                <w:sz w:val="20"/>
                <w:szCs w:val="20"/>
              </w:rPr>
              <w:t>;</w:t>
            </w:r>
          </w:p>
          <w:p w14:paraId="4D4B587E" w14:textId="77777777" w:rsidR="0056406C" w:rsidRPr="00DC5136" w:rsidRDefault="0056406C" w:rsidP="00C350BD">
            <w:pPr>
              <w:jc w:val="both"/>
              <w:rPr>
                <w:rFonts w:ascii="Verdana" w:eastAsia="Times New Roman" w:hAnsi="Verdana"/>
                <w:sz w:val="20"/>
                <w:szCs w:val="20"/>
              </w:rPr>
            </w:pPr>
            <w:r w:rsidRPr="00DC5136">
              <w:rPr>
                <w:rFonts w:ascii="Verdana" w:eastAsia="Times New Roman" w:hAnsi="Verdana"/>
                <w:sz w:val="20"/>
                <w:szCs w:val="20"/>
              </w:rPr>
              <w:t>3</w:t>
            </w:r>
            <w:r w:rsidR="00935330" w:rsidRPr="00DC5136">
              <w:rPr>
                <w:rFonts w:ascii="Verdana" w:eastAsia="Times New Roman" w:hAnsi="Verdana"/>
                <w:sz w:val="20"/>
                <w:szCs w:val="20"/>
              </w:rPr>
              <w:t xml:space="preserve">. </w:t>
            </w:r>
            <w:r w:rsidRPr="00DC5136">
              <w:rPr>
                <w:rFonts w:ascii="Verdana" w:eastAsia="Times New Roman" w:hAnsi="Verdana"/>
                <w:sz w:val="20"/>
                <w:szCs w:val="20"/>
              </w:rPr>
              <w:t>z</w:t>
            </w:r>
            <w:r w:rsidR="00935330" w:rsidRPr="00DC5136">
              <w:rPr>
                <w:rFonts w:ascii="Verdana" w:eastAsia="Times New Roman" w:hAnsi="Verdana"/>
                <w:sz w:val="20"/>
                <w:szCs w:val="20"/>
              </w:rPr>
              <w:t>apewnienie infrastruktury utrzymaniowej systemu wraz z DRC, z usługą zabezpieczeń, zarządzaniem i kopiami bezpieczeństwa systemu. Kwota została skalkulowana na podstawie umów zawartych dotychczas w projekcie</w:t>
            </w:r>
            <w:r w:rsidRPr="00DC5136">
              <w:rPr>
                <w:rFonts w:ascii="Verdana" w:eastAsia="Times New Roman" w:hAnsi="Verdana"/>
                <w:sz w:val="20"/>
                <w:szCs w:val="20"/>
              </w:rPr>
              <w:t xml:space="preserve"> – </w:t>
            </w:r>
            <w:r w:rsidR="003A2E4F" w:rsidRPr="00DC5136">
              <w:rPr>
                <w:rFonts w:ascii="Verdana" w:eastAsia="Times New Roman" w:hAnsi="Verdana"/>
                <w:sz w:val="20"/>
                <w:szCs w:val="20"/>
              </w:rPr>
              <w:t>ok. 15</w:t>
            </w:r>
            <w:r w:rsidRPr="00DC5136">
              <w:rPr>
                <w:rFonts w:ascii="Verdana" w:eastAsia="Times New Roman" w:hAnsi="Verdana"/>
                <w:sz w:val="20"/>
                <w:szCs w:val="20"/>
              </w:rPr>
              <w:t>% planowanego zwiększenia budżetu;</w:t>
            </w:r>
          </w:p>
          <w:p w14:paraId="5E8EC631" w14:textId="77777777" w:rsidR="003A2E4F" w:rsidRPr="00DC5136" w:rsidRDefault="003A2E4F" w:rsidP="00C350BD">
            <w:pPr>
              <w:jc w:val="both"/>
              <w:rPr>
                <w:rFonts w:ascii="Verdana" w:eastAsia="Times New Roman" w:hAnsi="Verdana"/>
                <w:sz w:val="20"/>
                <w:szCs w:val="20"/>
              </w:rPr>
            </w:pPr>
            <w:r w:rsidRPr="00DC5136">
              <w:rPr>
                <w:rFonts w:ascii="Verdana" w:eastAsia="Times New Roman" w:hAnsi="Verdana"/>
                <w:sz w:val="20"/>
                <w:szCs w:val="20"/>
              </w:rPr>
              <w:t xml:space="preserve">4. Pozostałe zadania, w tym przede wszystkim: zapewnienie bieżącego wsparcia merytorycznego i technicznego użytkownikom systemu, </w:t>
            </w:r>
            <w:r w:rsidR="00772FC5" w:rsidRPr="00DC5136">
              <w:rPr>
                <w:rFonts w:ascii="Verdana" w:eastAsia="Times New Roman" w:hAnsi="Verdana"/>
                <w:sz w:val="20"/>
                <w:szCs w:val="20"/>
              </w:rPr>
              <w:t>zakup rozszerzeń licencji i oprogramowania, koszty bieżących konsultacji nowych rozwiązań z pracownikami wszystkich 8 OKE</w:t>
            </w:r>
            <w:r w:rsidR="009B4AE8" w:rsidRPr="00DC5136">
              <w:rPr>
                <w:rFonts w:ascii="Verdana" w:eastAsia="Times New Roman" w:hAnsi="Verdana"/>
                <w:sz w:val="20"/>
                <w:szCs w:val="20"/>
              </w:rPr>
              <w:t xml:space="preserve"> – ok. 5 %;</w:t>
            </w:r>
          </w:p>
          <w:p w14:paraId="26563FA3" w14:textId="77777777" w:rsidR="009B4AE8" w:rsidRPr="00DC5136" w:rsidRDefault="009B4AE8" w:rsidP="00C350BD">
            <w:pPr>
              <w:jc w:val="both"/>
              <w:rPr>
                <w:rFonts w:ascii="Verdana" w:eastAsia="Times New Roman" w:hAnsi="Verdana"/>
                <w:sz w:val="20"/>
                <w:szCs w:val="20"/>
              </w:rPr>
            </w:pPr>
            <w:r w:rsidRPr="00DC5136">
              <w:rPr>
                <w:rFonts w:ascii="Verdana" w:eastAsia="Times New Roman" w:hAnsi="Verdana"/>
                <w:sz w:val="20"/>
                <w:szCs w:val="20"/>
              </w:rPr>
              <w:t>5. Koszty pośrednie – 10%.</w:t>
            </w:r>
          </w:p>
        </w:tc>
        <w:tc>
          <w:tcPr>
            <w:tcW w:w="1275" w:type="dxa"/>
          </w:tcPr>
          <w:p w14:paraId="55D41107" w14:textId="77777777" w:rsidR="00F07C96" w:rsidRPr="00DC24AB" w:rsidRDefault="00F07C96" w:rsidP="00A91D3C"/>
        </w:tc>
      </w:tr>
    </w:tbl>
    <w:p w14:paraId="2309C063" w14:textId="77777777" w:rsidR="00E219FB" w:rsidRPr="00DC24AB" w:rsidRDefault="00E219FB" w:rsidP="00E0267B"/>
    <w:sectPr w:rsidR="00E219FB" w:rsidRPr="00DC24AB" w:rsidSect="00984850">
      <w:footerReference w:type="default" r:id="rId8"/>
      <w:pgSz w:w="16838" w:h="11906" w:orient="landscape"/>
      <w:pgMar w:top="1134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F060DB" w14:textId="77777777" w:rsidR="00A1705E" w:rsidRDefault="00A1705E" w:rsidP="00520C8C">
      <w:pPr>
        <w:spacing w:after="0" w:line="240" w:lineRule="auto"/>
      </w:pPr>
      <w:r>
        <w:separator/>
      </w:r>
    </w:p>
  </w:endnote>
  <w:endnote w:type="continuationSeparator" w:id="0">
    <w:p w14:paraId="6D9CFD29" w14:textId="77777777" w:rsidR="00A1705E" w:rsidRDefault="00A1705E" w:rsidP="00520C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31739342"/>
      <w:docPartObj>
        <w:docPartGallery w:val="Page Numbers (Bottom of Page)"/>
        <w:docPartUnique/>
      </w:docPartObj>
    </w:sdtPr>
    <w:sdtEndPr/>
    <w:sdtContent>
      <w:p w14:paraId="6932A023" w14:textId="6B6C7655" w:rsidR="00520C8C" w:rsidRDefault="00520C8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18E3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690E0B" w14:textId="77777777" w:rsidR="00A1705E" w:rsidRDefault="00A1705E" w:rsidP="00520C8C">
      <w:pPr>
        <w:spacing w:after="0" w:line="240" w:lineRule="auto"/>
      </w:pPr>
      <w:r>
        <w:separator/>
      </w:r>
    </w:p>
  </w:footnote>
  <w:footnote w:type="continuationSeparator" w:id="0">
    <w:p w14:paraId="40C9D3AD" w14:textId="77777777" w:rsidR="00A1705E" w:rsidRDefault="00A1705E" w:rsidP="00520C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730D7"/>
    <w:multiLevelType w:val="hybridMultilevel"/>
    <w:tmpl w:val="25C686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1650C"/>
    <w:multiLevelType w:val="hybridMultilevel"/>
    <w:tmpl w:val="6ECA9D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FC3A94"/>
    <w:multiLevelType w:val="hybridMultilevel"/>
    <w:tmpl w:val="DE82DB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D40A1C"/>
    <w:multiLevelType w:val="hybridMultilevel"/>
    <w:tmpl w:val="1A98B062"/>
    <w:lvl w:ilvl="0" w:tplc="04150017">
      <w:start w:val="1"/>
      <w:numFmt w:val="lowerLetter"/>
      <w:lvlText w:val="%1)"/>
      <w:lvlJc w:val="left"/>
      <w:pPr>
        <w:ind w:left="1038" w:hanging="360"/>
      </w:pPr>
    </w:lvl>
    <w:lvl w:ilvl="1" w:tplc="04150019" w:tentative="1">
      <w:start w:val="1"/>
      <w:numFmt w:val="lowerLetter"/>
      <w:lvlText w:val="%2."/>
      <w:lvlJc w:val="left"/>
      <w:pPr>
        <w:ind w:left="1758" w:hanging="360"/>
      </w:pPr>
    </w:lvl>
    <w:lvl w:ilvl="2" w:tplc="0415001B" w:tentative="1">
      <w:start w:val="1"/>
      <w:numFmt w:val="lowerRoman"/>
      <w:lvlText w:val="%3."/>
      <w:lvlJc w:val="right"/>
      <w:pPr>
        <w:ind w:left="2478" w:hanging="180"/>
      </w:pPr>
    </w:lvl>
    <w:lvl w:ilvl="3" w:tplc="0415000F" w:tentative="1">
      <w:start w:val="1"/>
      <w:numFmt w:val="decimal"/>
      <w:lvlText w:val="%4."/>
      <w:lvlJc w:val="left"/>
      <w:pPr>
        <w:ind w:left="3198" w:hanging="360"/>
      </w:pPr>
    </w:lvl>
    <w:lvl w:ilvl="4" w:tplc="04150019" w:tentative="1">
      <w:start w:val="1"/>
      <w:numFmt w:val="lowerLetter"/>
      <w:lvlText w:val="%5."/>
      <w:lvlJc w:val="left"/>
      <w:pPr>
        <w:ind w:left="3918" w:hanging="360"/>
      </w:pPr>
    </w:lvl>
    <w:lvl w:ilvl="5" w:tplc="0415001B" w:tentative="1">
      <w:start w:val="1"/>
      <w:numFmt w:val="lowerRoman"/>
      <w:lvlText w:val="%6."/>
      <w:lvlJc w:val="right"/>
      <w:pPr>
        <w:ind w:left="4638" w:hanging="180"/>
      </w:pPr>
    </w:lvl>
    <w:lvl w:ilvl="6" w:tplc="0415000F" w:tentative="1">
      <w:start w:val="1"/>
      <w:numFmt w:val="decimal"/>
      <w:lvlText w:val="%7."/>
      <w:lvlJc w:val="left"/>
      <w:pPr>
        <w:ind w:left="5358" w:hanging="360"/>
      </w:pPr>
    </w:lvl>
    <w:lvl w:ilvl="7" w:tplc="04150019" w:tentative="1">
      <w:start w:val="1"/>
      <w:numFmt w:val="lowerLetter"/>
      <w:lvlText w:val="%8."/>
      <w:lvlJc w:val="left"/>
      <w:pPr>
        <w:ind w:left="6078" w:hanging="360"/>
      </w:pPr>
    </w:lvl>
    <w:lvl w:ilvl="8" w:tplc="0415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4" w15:restartNumberingAfterBreak="0">
    <w:nsid w:val="64573989"/>
    <w:multiLevelType w:val="hybridMultilevel"/>
    <w:tmpl w:val="EED61E80"/>
    <w:lvl w:ilvl="0" w:tplc="19D8D0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6F8"/>
    <w:rsid w:val="00002665"/>
    <w:rsid w:val="00011FB2"/>
    <w:rsid w:val="00016D4B"/>
    <w:rsid w:val="000222FE"/>
    <w:rsid w:val="000244C5"/>
    <w:rsid w:val="00034F56"/>
    <w:rsid w:val="00036ED5"/>
    <w:rsid w:val="00047C78"/>
    <w:rsid w:val="00065036"/>
    <w:rsid w:val="000740BA"/>
    <w:rsid w:val="00077C95"/>
    <w:rsid w:val="00095B2B"/>
    <w:rsid w:val="000A36F8"/>
    <w:rsid w:val="000C1298"/>
    <w:rsid w:val="00107538"/>
    <w:rsid w:val="001128F7"/>
    <w:rsid w:val="00113184"/>
    <w:rsid w:val="0011408F"/>
    <w:rsid w:val="001201D8"/>
    <w:rsid w:val="00157CCD"/>
    <w:rsid w:val="001612F9"/>
    <w:rsid w:val="001618F4"/>
    <w:rsid w:val="00163EC4"/>
    <w:rsid w:val="00167B7C"/>
    <w:rsid w:val="001833FF"/>
    <w:rsid w:val="001851C6"/>
    <w:rsid w:val="001A414B"/>
    <w:rsid w:val="001A4C81"/>
    <w:rsid w:val="001A5E61"/>
    <w:rsid w:val="001B1690"/>
    <w:rsid w:val="001B51EB"/>
    <w:rsid w:val="001C01EF"/>
    <w:rsid w:val="001D34F0"/>
    <w:rsid w:val="001D661D"/>
    <w:rsid w:val="001E6083"/>
    <w:rsid w:val="001F0373"/>
    <w:rsid w:val="001F0717"/>
    <w:rsid w:val="001F3E1D"/>
    <w:rsid w:val="002042D9"/>
    <w:rsid w:val="00214451"/>
    <w:rsid w:val="002179EC"/>
    <w:rsid w:val="00241316"/>
    <w:rsid w:val="00244BB4"/>
    <w:rsid w:val="0026009B"/>
    <w:rsid w:val="0028016A"/>
    <w:rsid w:val="00286CB8"/>
    <w:rsid w:val="00291473"/>
    <w:rsid w:val="002B4CF1"/>
    <w:rsid w:val="002C5128"/>
    <w:rsid w:val="002E3E8D"/>
    <w:rsid w:val="002E3EFC"/>
    <w:rsid w:val="002E500B"/>
    <w:rsid w:val="00306653"/>
    <w:rsid w:val="003116DC"/>
    <w:rsid w:val="00324ABA"/>
    <w:rsid w:val="00340B2E"/>
    <w:rsid w:val="00340F16"/>
    <w:rsid w:val="00374AE4"/>
    <w:rsid w:val="00376BA7"/>
    <w:rsid w:val="003876F4"/>
    <w:rsid w:val="00396E59"/>
    <w:rsid w:val="0039780B"/>
    <w:rsid w:val="003A2E4F"/>
    <w:rsid w:val="003A36F7"/>
    <w:rsid w:val="003A5823"/>
    <w:rsid w:val="003B2DDC"/>
    <w:rsid w:val="003B5FE7"/>
    <w:rsid w:val="003B71CD"/>
    <w:rsid w:val="003C56B2"/>
    <w:rsid w:val="003C58F1"/>
    <w:rsid w:val="003D163A"/>
    <w:rsid w:val="003D5250"/>
    <w:rsid w:val="003D5537"/>
    <w:rsid w:val="003E19B5"/>
    <w:rsid w:val="003E398E"/>
    <w:rsid w:val="0040301A"/>
    <w:rsid w:val="004107A6"/>
    <w:rsid w:val="00416B69"/>
    <w:rsid w:val="004227D9"/>
    <w:rsid w:val="00422D93"/>
    <w:rsid w:val="004318E3"/>
    <w:rsid w:val="0043299D"/>
    <w:rsid w:val="00447A47"/>
    <w:rsid w:val="00450641"/>
    <w:rsid w:val="00455498"/>
    <w:rsid w:val="00457DDD"/>
    <w:rsid w:val="004605E9"/>
    <w:rsid w:val="00480CC2"/>
    <w:rsid w:val="004951A8"/>
    <w:rsid w:val="0049658D"/>
    <w:rsid w:val="004B6E41"/>
    <w:rsid w:val="004C4512"/>
    <w:rsid w:val="004C6A7C"/>
    <w:rsid w:val="004D4DA4"/>
    <w:rsid w:val="004E1A98"/>
    <w:rsid w:val="004F1F80"/>
    <w:rsid w:val="004F72C0"/>
    <w:rsid w:val="00506343"/>
    <w:rsid w:val="00511F87"/>
    <w:rsid w:val="00520C8C"/>
    <w:rsid w:val="00523BA8"/>
    <w:rsid w:val="00547F60"/>
    <w:rsid w:val="0055188A"/>
    <w:rsid w:val="0056061A"/>
    <w:rsid w:val="00563D65"/>
    <w:rsid w:val="0056406C"/>
    <w:rsid w:val="00571EB7"/>
    <w:rsid w:val="00572E44"/>
    <w:rsid w:val="00590BBE"/>
    <w:rsid w:val="00597C67"/>
    <w:rsid w:val="005A1234"/>
    <w:rsid w:val="005B2757"/>
    <w:rsid w:val="005C0E73"/>
    <w:rsid w:val="005C78BE"/>
    <w:rsid w:val="005D03A9"/>
    <w:rsid w:val="005D0BD4"/>
    <w:rsid w:val="005D176F"/>
    <w:rsid w:val="005D295A"/>
    <w:rsid w:val="005D387D"/>
    <w:rsid w:val="005D753B"/>
    <w:rsid w:val="006025D2"/>
    <w:rsid w:val="00617894"/>
    <w:rsid w:val="00621899"/>
    <w:rsid w:val="006303D3"/>
    <w:rsid w:val="00634682"/>
    <w:rsid w:val="006348F9"/>
    <w:rsid w:val="006371E5"/>
    <w:rsid w:val="00641F1A"/>
    <w:rsid w:val="00657661"/>
    <w:rsid w:val="00657C67"/>
    <w:rsid w:val="0066168C"/>
    <w:rsid w:val="00670EDC"/>
    <w:rsid w:val="00691D00"/>
    <w:rsid w:val="006A05B1"/>
    <w:rsid w:val="006C7AB2"/>
    <w:rsid w:val="006E4D6E"/>
    <w:rsid w:val="006E604B"/>
    <w:rsid w:val="006F098F"/>
    <w:rsid w:val="006F33F0"/>
    <w:rsid w:val="006F64BC"/>
    <w:rsid w:val="00711490"/>
    <w:rsid w:val="007150BB"/>
    <w:rsid w:val="00723D07"/>
    <w:rsid w:val="00733B8C"/>
    <w:rsid w:val="00742858"/>
    <w:rsid w:val="00742E4C"/>
    <w:rsid w:val="0074715E"/>
    <w:rsid w:val="00760EF3"/>
    <w:rsid w:val="00763B75"/>
    <w:rsid w:val="00772FC5"/>
    <w:rsid w:val="00787027"/>
    <w:rsid w:val="00790BEE"/>
    <w:rsid w:val="00791833"/>
    <w:rsid w:val="007B31D4"/>
    <w:rsid w:val="007B38FE"/>
    <w:rsid w:val="007B51C0"/>
    <w:rsid w:val="007B645C"/>
    <w:rsid w:val="007C12A2"/>
    <w:rsid w:val="007C4E5D"/>
    <w:rsid w:val="007D51D7"/>
    <w:rsid w:val="007D7038"/>
    <w:rsid w:val="007D793B"/>
    <w:rsid w:val="007F1158"/>
    <w:rsid w:val="007F4D35"/>
    <w:rsid w:val="00812383"/>
    <w:rsid w:val="00815CB4"/>
    <w:rsid w:val="008209D9"/>
    <w:rsid w:val="00821F1F"/>
    <w:rsid w:val="00824FFB"/>
    <w:rsid w:val="00850336"/>
    <w:rsid w:val="00856D63"/>
    <w:rsid w:val="0088174F"/>
    <w:rsid w:val="00883087"/>
    <w:rsid w:val="0088403A"/>
    <w:rsid w:val="00885B54"/>
    <w:rsid w:val="00893FDD"/>
    <w:rsid w:val="008970C7"/>
    <w:rsid w:val="008A5D1B"/>
    <w:rsid w:val="008E20A3"/>
    <w:rsid w:val="00903EBE"/>
    <w:rsid w:val="0091122A"/>
    <w:rsid w:val="0091771A"/>
    <w:rsid w:val="00922133"/>
    <w:rsid w:val="009268D6"/>
    <w:rsid w:val="00927E13"/>
    <w:rsid w:val="00932436"/>
    <w:rsid w:val="00934307"/>
    <w:rsid w:val="00935330"/>
    <w:rsid w:val="0093783F"/>
    <w:rsid w:val="00943387"/>
    <w:rsid w:val="009478E5"/>
    <w:rsid w:val="00953E65"/>
    <w:rsid w:val="009609BE"/>
    <w:rsid w:val="009675D2"/>
    <w:rsid w:val="00981D4A"/>
    <w:rsid w:val="00984850"/>
    <w:rsid w:val="0099090E"/>
    <w:rsid w:val="009B4AE8"/>
    <w:rsid w:val="009B77D0"/>
    <w:rsid w:val="009D149E"/>
    <w:rsid w:val="009E39DD"/>
    <w:rsid w:val="009F4D0B"/>
    <w:rsid w:val="00A05D6B"/>
    <w:rsid w:val="00A07C18"/>
    <w:rsid w:val="00A1705E"/>
    <w:rsid w:val="00A17525"/>
    <w:rsid w:val="00A26362"/>
    <w:rsid w:val="00A360FA"/>
    <w:rsid w:val="00A512B9"/>
    <w:rsid w:val="00A5457B"/>
    <w:rsid w:val="00A6014C"/>
    <w:rsid w:val="00A8120E"/>
    <w:rsid w:val="00A8411C"/>
    <w:rsid w:val="00A87741"/>
    <w:rsid w:val="00A91D3C"/>
    <w:rsid w:val="00AA250E"/>
    <w:rsid w:val="00AB622A"/>
    <w:rsid w:val="00AC7CA8"/>
    <w:rsid w:val="00AD41AF"/>
    <w:rsid w:val="00AE383E"/>
    <w:rsid w:val="00AF01F1"/>
    <w:rsid w:val="00AF0D68"/>
    <w:rsid w:val="00B05928"/>
    <w:rsid w:val="00B0666A"/>
    <w:rsid w:val="00B1131F"/>
    <w:rsid w:val="00B20822"/>
    <w:rsid w:val="00B60A93"/>
    <w:rsid w:val="00B62452"/>
    <w:rsid w:val="00B62863"/>
    <w:rsid w:val="00B62BA1"/>
    <w:rsid w:val="00B73A6D"/>
    <w:rsid w:val="00B77917"/>
    <w:rsid w:val="00B81D9B"/>
    <w:rsid w:val="00B92BBF"/>
    <w:rsid w:val="00B92DEC"/>
    <w:rsid w:val="00B970D8"/>
    <w:rsid w:val="00BA055D"/>
    <w:rsid w:val="00BA366F"/>
    <w:rsid w:val="00BA5F0A"/>
    <w:rsid w:val="00BB141A"/>
    <w:rsid w:val="00BB1C5D"/>
    <w:rsid w:val="00BE49EE"/>
    <w:rsid w:val="00BF6EA1"/>
    <w:rsid w:val="00C071EA"/>
    <w:rsid w:val="00C15774"/>
    <w:rsid w:val="00C2050F"/>
    <w:rsid w:val="00C32934"/>
    <w:rsid w:val="00C350BD"/>
    <w:rsid w:val="00C538F8"/>
    <w:rsid w:val="00C55012"/>
    <w:rsid w:val="00C61F03"/>
    <w:rsid w:val="00C6677A"/>
    <w:rsid w:val="00C72A94"/>
    <w:rsid w:val="00C73767"/>
    <w:rsid w:val="00C82258"/>
    <w:rsid w:val="00C93EE9"/>
    <w:rsid w:val="00C94809"/>
    <w:rsid w:val="00C96C06"/>
    <w:rsid w:val="00CA28A8"/>
    <w:rsid w:val="00CA4D35"/>
    <w:rsid w:val="00CA7201"/>
    <w:rsid w:val="00CC215D"/>
    <w:rsid w:val="00CD7F0E"/>
    <w:rsid w:val="00CE28D5"/>
    <w:rsid w:val="00CE2C0C"/>
    <w:rsid w:val="00CF130D"/>
    <w:rsid w:val="00CF1CF6"/>
    <w:rsid w:val="00CF335D"/>
    <w:rsid w:val="00CF5F46"/>
    <w:rsid w:val="00CF63F3"/>
    <w:rsid w:val="00CF6F9A"/>
    <w:rsid w:val="00D01833"/>
    <w:rsid w:val="00D037BC"/>
    <w:rsid w:val="00D07151"/>
    <w:rsid w:val="00D2110F"/>
    <w:rsid w:val="00D240E3"/>
    <w:rsid w:val="00D27432"/>
    <w:rsid w:val="00D344E3"/>
    <w:rsid w:val="00D4762C"/>
    <w:rsid w:val="00D7167A"/>
    <w:rsid w:val="00D87A8E"/>
    <w:rsid w:val="00D92BAA"/>
    <w:rsid w:val="00DB1F69"/>
    <w:rsid w:val="00DC24AB"/>
    <w:rsid w:val="00DC5136"/>
    <w:rsid w:val="00DC51F3"/>
    <w:rsid w:val="00DD4253"/>
    <w:rsid w:val="00DD6923"/>
    <w:rsid w:val="00DE389B"/>
    <w:rsid w:val="00DE467D"/>
    <w:rsid w:val="00DE59FD"/>
    <w:rsid w:val="00DF19E6"/>
    <w:rsid w:val="00DF3D02"/>
    <w:rsid w:val="00E02182"/>
    <w:rsid w:val="00E0267B"/>
    <w:rsid w:val="00E035E0"/>
    <w:rsid w:val="00E0507A"/>
    <w:rsid w:val="00E10F71"/>
    <w:rsid w:val="00E13A4A"/>
    <w:rsid w:val="00E13EBA"/>
    <w:rsid w:val="00E219FB"/>
    <w:rsid w:val="00E26745"/>
    <w:rsid w:val="00E317AB"/>
    <w:rsid w:val="00E55A03"/>
    <w:rsid w:val="00E772AF"/>
    <w:rsid w:val="00E800F2"/>
    <w:rsid w:val="00E83692"/>
    <w:rsid w:val="00E8676E"/>
    <w:rsid w:val="00E86F1B"/>
    <w:rsid w:val="00EA6354"/>
    <w:rsid w:val="00EB499E"/>
    <w:rsid w:val="00EB6ED4"/>
    <w:rsid w:val="00EC2FFF"/>
    <w:rsid w:val="00EE696F"/>
    <w:rsid w:val="00EF0085"/>
    <w:rsid w:val="00EF315D"/>
    <w:rsid w:val="00F07C96"/>
    <w:rsid w:val="00F12BA5"/>
    <w:rsid w:val="00F13A99"/>
    <w:rsid w:val="00F16027"/>
    <w:rsid w:val="00F2713E"/>
    <w:rsid w:val="00F30DF5"/>
    <w:rsid w:val="00F34740"/>
    <w:rsid w:val="00F42FF6"/>
    <w:rsid w:val="00F51A8E"/>
    <w:rsid w:val="00F52B8F"/>
    <w:rsid w:val="00F616DC"/>
    <w:rsid w:val="00F7149C"/>
    <w:rsid w:val="00F93F2C"/>
    <w:rsid w:val="00F976AD"/>
    <w:rsid w:val="00FA1803"/>
    <w:rsid w:val="00FC31F6"/>
    <w:rsid w:val="00FC5C98"/>
    <w:rsid w:val="00FD1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AED6B"/>
  <w15:docId w15:val="{17303AEC-3B4F-48FB-9751-FF77A553B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C12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219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60EF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20C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0C8C"/>
  </w:style>
  <w:style w:type="paragraph" w:styleId="Stopka">
    <w:name w:val="footer"/>
    <w:basedOn w:val="Normalny"/>
    <w:link w:val="StopkaZnak"/>
    <w:uiPriority w:val="99"/>
    <w:unhideWhenUsed/>
    <w:rsid w:val="00520C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0C8C"/>
  </w:style>
  <w:style w:type="character" w:styleId="Odwoaniedokomentarza">
    <w:name w:val="annotation reference"/>
    <w:basedOn w:val="Domylnaczcionkaakapitu"/>
    <w:uiPriority w:val="99"/>
    <w:semiHidden/>
    <w:unhideWhenUsed/>
    <w:rsid w:val="00723D0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23D0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23D0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3D0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3D0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3D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3D07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7B51C0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13A9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13A9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13A99"/>
    <w:rPr>
      <w:vertAlign w:val="superscript"/>
    </w:rPr>
  </w:style>
  <w:style w:type="paragraph" w:customStyle="1" w:styleId="menfont">
    <w:name w:val="men font"/>
    <w:basedOn w:val="Normalny"/>
    <w:rsid w:val="00A8411C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4605E9"/>
    <w:pPr>
      <w:keepNext/>
      <w:suppressAutoHyphens/>
      <w:spacing w:before="120" w:after="360" w:line="360" w:lineRule="auto"/>
      <w:jc w:val="center"/>
    </w:pPr>
    <w:rPr>
      <w:rFonts w:ascii="Times" w:eastAsiaTheme="minorEastAsia" w:hAnsi="Times" w:cs="Arial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21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1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419B1E-9EAA-4B97-887B-DA3BC3D28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1156</Words>
  <Characters>6939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Sokulska- Nitecka Agnieszka</dc:creator>
  <cp:lastModifiedBy>Gut-Czerwińska Katarzyna</cp:lastModifiedBy>
  <cp:revision>4</cp:revision>
  <cp:lastPrinted>2019-06-13T07:57:00Z</cp:lastPrinted>
  <dcterms:created xsi:type="dcterms:W3CDTF">2021-02-22T09:33:00Z</dcterms:created>
  <dcterms:modified xsi:type="dcterms:W3CDTF">2021-02-22T09:39:00Z</dcterms:modified>
</cp:coreProperties>
</file>